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7A9F" w:rsidRDefault="000A7A9F" w:rsidP="00BF26C0">
      <w:pPr>
        <w:shd w:val="clear" w:color="auto" w:fill="FFFFFF"/>
        <w:spacing w:before="100" w:beforeAutospacing="1" w:after="100" w:afterAutospacing="1" w:line="240" w:lineRule="auto"/>
        <w:jc w:val="center"/>
        <w:outlineLvl w:val="0"/>
        <w:rPr>
          <w:rFonts w:ascii="Times New Roman" w:eastAsia="Times New Roman" w:hAnsi="Times New Roman" w:cs="Times New Roman"/>
          <w:color w:val="000000"/>
          <w:kern w:val="36"/>
          <w:sz w:val="24"/>
          <w:szCs w:val="24"/>
        </w:rPr>
      </w:pPr>
      <w:r>
        <w:rPr>
          <w:rFonts w:ascii="Times New Roman" w:eastAsia="Times New Roman" w:hAnsi="Times New Roman" w:cs="Times New Roman"/>
          <w:color w:val="000000"/>
          <w:kern w:val="36"/>
          <w:sz w:val="24"/>
          <w:szCs w:val="24"/>
        </w:rPr>
        <w:t>Constitutional and Legal Dimensions on the Doctrine of Equal Pay for Equal Work: A</w:t>
      </w:r>
      <w:r w:rsidRPr="000A7A9F">
        <w:rPr>
          <w:rFonts w:ascii="Times New Roman" w:eastAsia="Times New Roman" w:hAnsi="Times New Roman" w:cs="Times New Roman"/>
          <w:color w:val="000000"/>
          <w:kern w:val="36"/>
          <w:sz w:val="24"/>
          <w:szCs w:val="24"/>
        </w:rPr>
        <w:t>n Indian Perspective</w:t>
      </w:r>
    </w:p>
    <w:p w:rsidR="00BF26C0" w:rsidRPr="00BF26C0" w:rsidRDefault="00BF26C0" w:rsidP="00BF26C0">
      <w:pPr>
        <w:shd w:val="clear" w:color="auto" w:fill="FFFFFF"/>
        <w:spacing w:before="100" w:beforeAutospacing="1" w:after="100" w:afterAutospacing="1" w:line="240" w:lineRule="auto"/>
        <w:ind w:left="720"/>
        <w:jc w:val="center"/>
        <w:rPr>
          <w:rFonts w:ascii="Segoe UI" w:eastAsia="Times New Roman" w:hAnsi="Segoe UI" w:cs="Segoe UI"/>
          <w:color w:val="000000"/>
          <w:sz w:val="27"/>
          <w:szCs w:val="27"/>
          <w:u w:val="single"/>
        </w:rPr>
      </w:pPr>
      <w:r w:rsidRPr="00BF26C0">
        <w:rPr>
          <w:rFonts w:ascii="Segoe UI" w:eastAsia="Times New Roman" w:hAnsi="Segoe UI" w:cs="Segoe UI"/>
          <w:b/>
          <w:bCs/>
          <w:color w:val="000000"/>
          <w:sz w:val="27"/>
          <w:u w:val="single"/>
        </w:rPr>
        <w:t>INTRODUCTION:</w:t>
      </w:r>
    </w:p>
    <w:p w:rsidR="00BF26C0" w:rsidRPr="00BF26C0" w:rsidRDefault="00BF26C0" w:rsidP="00BF26C0">
      <w:pPr>
        <w:shd w:val="clear" w:color="auto" w:fill="FFFFFF"/>
        <w:spacing w:before="100" w:beforeAutospacing="1" w:after="100" w:afterAutospacing="1" w:line="240" w:lineRule="auto"/>
        <w:jc w:val="both"/>
        <w:rPr>
          <w:rFonts w:ascii="Times New Roman" w:eastAsia="Times New Roman" w:hAnsi="Times New Roman" w:cs="Times New Roman"/>
          <w:color w:val="000000"/>
          <w:sz w:val="24"/>
          <w:szCs w:val="24"/>
        </w:rPr>
      </w:pPr>
      <w:r w:rsidRPr="00BF26C0">
        <w:rPr>
          <w:rFonts w:ascii="Times New Roman" w:eastAsia="Times New Roman" w:hAnsi="Times New Roman" w:cs="Times New Roman"/>
          <w:color w:val="000000"/>
          <w:sz w:val="24"/>
          <w:szCs w:val="24"/>
        </w:rPr>
        <w:t>The doctrine of equal pay for equal work is a concept that has gradually evolved and has come to be recognized by a number of countries world-wide due to an increase in the instances of discriminatory pay scales for the same type of work</w:t>
      </w:r>
      <w:r w:rsidRPr="00BF26C0">
        <w:rPr>
          <w:rFonts w:ascii="Times New Roman" w:eastAsia="Times New Roman" w:hAnsi="Times New Roman" w:cs="Times New Roman"/>
          <w:color w:val="000000"/>
          <w:sz w:val="24"/>
          <w:szCs w:val="24"/>
          <w:vertAlign w:val="superscript"/>
        </w:rPr>
        <w:t>1</w:t>
      </w:r>
      <w:r w:rsidRPr="00BF26C0">
        <w:rPr>
          <w:rFonts w:ascii="Times New Roman" w:eastAsia="Times New Roman" w:hAnsi="Times New Roman" w:cs="Times New Roman"/>
          <w:color w:val="000000"/>
          <w:sz w:val="24"/>
          <w:szCs w:val="24"/>
        </w:rPr>
        <w:t>. Article.23 (2) of the </w:t>
      </w:r>
      <w:r w:rsidRPr="00BF26C0">
        <w:rPr>
          <w:rFonts w:ascii="Times New Roman" w:eastAsia="Times New Roman" w:hAnsi="Times New Roman" w:cs="Times New Roman"/>
          <w:i/>
          <w:iCs/>
          <w:color w:val="000000"/>
          <w:sz w:val="24"/>
          <w:szCs w:val="24"/>
        </w:rPr>
        <w:t>Universal Declaration of Human Rights</w:t>
      </w:r>
      <w:r w:rsidRPr="00BF26C0">
        <w:rPr>
          <w:rFonts w:ascii="Times New Roman" w:eastAsia="Times New Roman" w:hAnsi="Times New Roman" w:cs="Times New Roman"/>
          <w:color w:val="000000"/>
          <w:sz w:val="24"/>
          <w:szCs w:val="24"/>
        </w:rPr>
        <w:t>, 1948 debars all types of distinctions and classifications and clearly asserts that ‘everyone without any discrimination has the right to equal pay for equal work’. Similarly, Art.7 of the </w:t>
      </w:r>
      <w:r w:rsidRPr="00BF26C0">
        <w:rPr>
          <w:rFonts w:ascii="Times New Roman" w:eastAsia="Times New Roman" w:hAnsi="Times New Roman" w:cs="Times New Roman"/>
          <w:i/>
          <w:iCs/>
          <w:color w:val="000000"/>
          <w:sz w:val="24"/>
          <w:szCs w:val="24"/>
        </w:rPr>
        <w:t>International Covenant on Economic, Social and Cultural Rights</w:t>
      </w:r>
      <w:r w:rsidRPr="00BF26C0">
        <w:rPr>
          <w:rFonts w:ascii="Times New Roman" w:eastAsia="Times New Roman" w:hAnsi="Times New Roman" w:cs="Times New Roman"/>
          <w:color w:val="000000"/>
          <w:sz w:val="24"/>
          <w:szCs w:val="24"/>
        </w:rPr>
        <w:t>, Art.15 of the </w:t>
      </w:r>
      <w:r w:rsidRPr="00BF26C0">
        <w:rPr>
          <w:rFonts w:ascii="Times New Roman" w:eastAsia="Times New Roman" w:hAnsi="Times New Roman" w:cs="Times New Roman"/>
          <w:i/>
          <w:iCs/>
          <w:color w:val="000000"/>
          <w:sz w:val="24"/>
          <w:szCs w:val="24"/>
        </w:rPr>
        <w:t>African Charter on Human and Peoples’ Rights</w:t>
      </w:r>
      <w:r w:rsidRPr="00BF26C0">
        <w:rPr>
          <w:rFonts w:ascii="Times New Roman" w:eastAsia="Times New Roman" w:hAnsi="Times New Roman" w:cs="Times New Roman"/>
          <w:color w:val="000000"/>
          <w:sz w:val="24"/>
          <w:szCs w:val="24"/>
        </w:rPr>
        <w:t xml:space="preserve">, the International </w:t>
      </w:r>
      <w:proofErr w:type="spellStart"/>
      <w:r w:rsidRPr="00BF26C0">
        <w:rPr>
          <w:rFonts w:ascii="Times New Roman" w:eastAsia="Times New Roman" w:hAnsi="Times New Roman" w:cs="Times New Roman"/>
          <w:color w:val="000000"/>
          <w:sz w:val="24"/>
          <w:szCs w:val="24"/>
        </w:rPr>
        <w:t>Labour</w:t>
      </w:r>
      <w:proofErr w:type="spellEnd"/>
      <w:r w:rsidRPr="00BF26C0">
        <w:rPr>
          <w:rFonts w:ascii="Times New Roman" w:eastAsia="Times New Roman" w:hAnsi="Times New Roman" w:cs="Times New Roman"/>
          <w:color w:val="000000"/>
          <w:sz w:val="24"/>
          <w:szCs w:val="24"/>
        </w:rPr>
        <w:t xml:space="preserve"> </w:t>
      </w:r>
      <w:proofErr w:type="spellStart"/>
      <w:r w:rsidRPr="00BF26C0">
        <w:rPr>
          <w:rFonts w:ascii="Times New Roman" w:eastAsia="Times New Roman" w:hAnsi="Times New Roman" w:cs="Times New Roman"/>
          <w:color w:val="000000"/>
          <w:sz w:val="24"/>
          <w:szCs w:val="24"/>
        </w:rPr>
        <w:t>Organisation</w:t>
      </w:r>
      <w:proofErr w:type="spellEnd"/>
      <w:r w:rsidRPr="00BF26C0">
        <w:rPr>
          <w:rFonts w:ascii="Times New Roman" w:eastAsia="Times New Roman" w:hAnsi="Times New Roman" w:cs="Times New Roman"/>
          <w:color w:val="000000"/>
          <w:sz w:val="24"/>
          <w:szCs w:val="24"/>
        </w:rPr>
        <w:t> </w:t>
      </w:r>
      <w:r w:rsidRPr="00BF26C0">
        <w:rPr>
          <w:rFonts w:ascii="Times New Roman" w:eastAsia="Times New Roman" w:hAnsi="Times New Roman" w:cs="Times New Roman"/>
          <w:i/>
          <w:iCs/>
          <w:color w:val="000000"/>
          <w:sz w:val="24"/>
          <w:szCs w:val="24"/>
        </w:rPr>
        <w:t>Declaration on Fundamental Principles and Rights at Work</w:t>
      </w:r>
      <w:r w:rsidRPr="00BF26C0">
        <w:rPr>
          <w:rFonts w:ascii="Times New Roman" w:eastAsia="Times New Roman" w:hAnsi="Times New Roman" w:cs="Times New Roman"/>
          <w:color w:val="000000"/>
          <w:sz w:val="24"/>
          <w:szCs w:val="24"/>
        </w:rPr>
        <w:t>, Art.11 of the </w:t>
      </w:r>
      <w:r w:rsidRPr="00BF26C0">
        <w:rPr>
          <w:rFonts w:ascii="Times New Roman" w:eastAsia="Times New Roman" w:hAnsi="Times New Roman" w:cs="Times New Roman"/>
          <w:i/>
          <w:iCs/>
          <w:color w:val="000000"/>
          <w:sz w:val="24"/>
          <w:szCs w:val="24"/>
        </w:rPr>
        <w:t>Convention on the Elimination of All Forms of Discrimination against Women</w:t>
      </w:r>
      <w:r w:rsidRPr="00BF26C0">
        <w:rPr>
          <w:rFonts w:ascii="Times New Roman" w:eastAsia="Times New Roman" w:hAnsi="Times New Roman" w:cs="Times New Roman"/>
          <w:color w:val="000000"/>
          <w:sz w:val="24"/>
          <w:szCs w:val="24"/>
        </w:rPr>
        <w:t>, S.59 of the </w:t>
      </w:r>
      <w:r w:rsidRPr="00BF26C0">
        <w:rPr>
          <w:rFonts w:ascii="Times New Roman" w:eastAsia="Times New Roman" w:hAnsi="Times New Roman" w:cs="Times New Roman"/>
          <w:i/>
          <w:iCs/>
          <w:color w:val="000000"/>
          <w:sz w:val="24"/>
          <w:szCs w:val="24"/>
        </w:rPr>
        <w:t xml:space="preserve">Hungarian </w:t>
      </w:r>
      <w:proofErr w:type="spellStart"/>
      <w:r w:rsidRPr="00BF26C0">
        <w:rPr>
          <w:rFonts w:ascii="Times New Roman" w:eastAsia="Times New Roman" w:hAnsi="Times New Roman" w:cs="Times New Roman"/>
          <w:i/>
          <w:iCs/>
          <w:color w:val="000000"/>
          <w:sz w:val="24"/>
          <w:szCs w:val="24"/>
        </w:rPr>
        <w:t>Labour</w:t>
      </w:r>
      <w:proofErr w:type="spellEnd"/>
      <w:r w:rsidRPr="00BF26C0">
        <w:rPr>
          <w:rFonts w:ascii="Times New Roman" w:eastAsia="Times New Roman" w:hAnsi="Times New Roman" w:cs="Times New Roman"/>
          <w:i/>
          <w:iCs/>
          <w:color w:val="000000"/>
          <w:sz w:val="24"/>
          <w:szCs w:val="24"/>
        </w:rPr>
        <w:t xml:space="preserve"> Code</w:t>
      </w:r>
      <w:r w:rsidRPr="00BF26C0">
        <w:rPr>
          <w:rFonts w:ascii="Times New Roman" w:eastAsia="Times New Roman" w:hAnsi="Times New Roman" w:cs="Times New Roman"/>
          <w:color w:val="000000"/>
          <w:sz w:val="24"/>
          <w:szCs w:val="24"/>
        </w:rPr>
        <w:t>, Clause 2 of S.111 of </w:t>
      </w:r>
      <w:r w:rsidRPr="00BF26C0">
        <w:rPr>
          <w:rFonts w:ascii="Times New Roman" w:eastAsia="Times New Roman" w:hAnsi="Times New Roman" w:cs="Times New Roman"/>
          <w:i/>
          <w:iCs/>
          <w:color w:val="000000"/>
          <w:sz w:val="24"/>
          <w:szCs w:val="24"/>
        </w:rPr>
        <w:t>Czechoslovak Code</w:t>
      </w:r>
      <w:r w:rsidRPr="00BF26C0">
        <w:rPr>
          <w:rFonts w:ascii="Times New Roman" w:eastAsia="Times New Roman" w:hAnsi="Times New Roman" w:cs="Times New Roman"/>
          <w:color w:val="000000"/>
          <w:sz w:val="24"/>
          <w:szCs w:val="24"/>
        </w:rPr>
        <w:t>, S.67 of the </w:t>
      </w:r>
      <w:r w:rsidRPr="00BF26C0">
        <w:rPr>
          <w:rFonts w:ascii="Times New Roman" w:eastAsia="Times New Roman" w:hAnsi="Times New Roman" w:cs="Times New Roman"/>
          <w:i/>
          <w:iCs/>
          <w:color w:val="000000"/>
          <w:sz w:val="24"/>
          <w:szCs w:val="24"/>
        </w:rPr>
        <w:t>Bulgarian Code</w:t>
      </w:r>
      <w:r w:rsidRPr="00BF26C0">
        <w:rPr>
          <w:rFonts w:ascii="Times New Roman" w:eastAsia="Times New Roman" w:hAnsi="Times New Roman" w:cs="Times New Roman"/>
          <w:color w:val="000000"/>
          <w:sz w:val="24"/>
          <w:szCs w:val="24"/>
        </w:rPr>
        <w:t>, S.40 of the </w:t>
      </w:r>
      <w:r w:rsidRPr="00BF26C0">
        <w:rPr>
          <w:rFonts w:ascii="Times New Roman" w:eastAsia="Times New Roman" w:hAnsi="Times New Roman" w:cs="Times New Roman"/>
          <w:i/>
          <w:iCs/>
          <w:color w:val="000000"/>
          <w:sz w:val="24"/>
          <w:szCs w:val="24"/>
        </w:rPr>
        <w:t>Code of German Democratic Republic</w:t>
      </w:r>
      <w:r w:rsidRPr="00BF26C0">
        <w:rPr>
          <w:rFonts w:ascii="Times New Roman" w:eastAsia="Times New Roman" w:hAnsi="Times New Roman" w:cs="Times New Roman"/>
          <w:color w:val="000000"/>
          <w:sz w:val="24"/>
          <w:szCs w:val="24"/>
        </w:rPr>
        <w:t>, Para 2 of S.33 of the </w:t>
      </w:r>
      <w:r w:rsidRPr="00BF26C0">
        <w:rPr>
          <w:rFonts w:ascii="Times New Roman" w:eastAsia="Times New Roman" w:hAnsi="Times New Roman" w:cs="Times New Roman"/>
          <w:i/>
          <w:iCs/>
          <w:color w:val="000000"/>
          <w:sz w:val="24"/>
          <w:szCs w:val="24"/>
        </w:rPr>
        <w:t>Rumanian Code, </w:t>
      </w:r>
      <w:r w:rsidRPr="00BF26C0">
        <w:rPr>
          <w:rFonts w:ascii="Times New Roman" w:eastAsia="Times New Roman" w:hAnsi="Times New Roman" w:cs="Times New Roman"/>
          <w:color w:val="000000"/>
          <w:sz w:val="24"/>
          <w:szCs w:val="24"/>
        </w:rPr>
        <w:t>Art.2 of the</w:t>
      </w:r>
      <w:r w:rsidRPr="00BF26C0">
        <w:rPr>
          <w:rFonts w:ascii="Times New Roman" w:eastAsia="Times New Roman" w:hAnsi="Times New Roman" w:cs="Times New Roman"/>
          <w:i/>
          <w:iCs/>
          <w:color w:val="000000"/>
          <w:sz w:val="24"/>
          <w:szCs w:val="24"/>
        </w:rPr>
        <w:t> Convention Concerning Equal Remuneration for Men and Women Workers for Work of Equal Value, etc., </w:t>
      </w:r>
      <w:r w:rsidRPr="00BF26C0">
        <w:rPr>
          <w:rFonts w:ascii="Times New Roman" w:eastAsia="Times New Roman" w:hAnsi="Times New Roman" w:cs="Times New Roman"/>
          <w:color w:val="000000"/>
          <w:sz w:val="24"/>
          <w:szCs w:val="24"/>
        </w:rPr>
        <w:t>are other best international instruments that uphold the doctrine of equal pay for equal work. However, even after six decades of independence and with the existence of the international instruments that promote the principle of equal pay for equal work, and more importantly with the world’s biggest Constitution, India still lacks a comprehensive and transparent wage policy for men and women in all the sectors of the economy</w:t>
      </w:r>
      <w:r w:rsidRPr="00BF26C0">
        <w:rPr>
          <w:rFonts w:ascii="Times New Roman" w:eastAsia="Times New Roman" w:hAnsi="Times New Roman" w:cs="Times New Roman"/>
          <w:color w:val="000000"/>
          <w:sz w:val="24"/>
          <w:szCs w:val="24"/>
          <w:vertAlign w:val="superscript"/>
        </w:rPr>
        <w:t>2</w:t>
      </w:r>
      <w:r w:rsidRPr="00BF26C0">
        <w:rPr>
          <w:rFonts w:ascii="Times New Roman" w:eastAsia="Times New Roman" w:hAnsi="Times New Roman" w:cs="Times New Roman"/>
          <w:color w:val="000000"/>
          <w:sz w:val="24"/>
          <w:szCs w:val="24"/>
        </w:rPr>
        <w:t>.</w:t>
      </w:r>
    </w:p>
    <w:p w:rsidR="00BF26C0" w:rsidRPr="00BF26C0" w:rsidRDefault="00BF26C0" w:rsidP="00BF26C0">
      <w:pPr>
        <w:shd w:val="clear" w:color="auto" w:fill="FFFFFF"/>
        <w:spacing w:before="100" w:beforeAutospacing="1" w:after="100" w:afterAutospacing="1" w:line="240" w:lineRule="auto"/>
        <w:jc w:val="both"/>
        <w:rPr>
          <w:rFonts w:ascii="Times New Roman" w:eastAsia="Times New Roman" w:hAnsi="Times New Roman" w:cs="Times New Roman"/>
          <w:color w:val="000000"/>
          <w:sz w:val="24"/>
          <w:szCs w:val="24"/>
        </w:rPr>
      </w:pPr>
      <w:r w:rsidRPr="00BF26C0">
        <w:rPr>
          <w:rFonts w:ascii="Times New Roman" w:eastAsia="Times New Roman" w:hAnsi="Times New Roman" w:cs="Times New Roman"/>
          <w:color w:val="000000"/>
          <w:sz w:val="24"/>
          <w:szCs w:val="24"/>
        </w:rPr>
        <w:t>In this paper, a detailed analysis of various constitutional and legal provisions including judicial pronouncements relating to the doctrine of ‘equal pay for equal work’ shall be undertaken. For proper perception, this paper is divided into five parts. The </w:t>
      </w:r>
      <w:r w:rsidRPr="00BF26C0">
        <w:rPr>
          <w:rFonts w:ascii="Times New Roman" w:eastAsia="Times New Roman" w:hAnsi="Times New Roman" w:cs="Times New Roman"/>
          <w:i/>
          <w:iCs/>
          <w:color w:val="000000"/>
          <w:sz w:val="24"/>
          <w:szCs w:val="24"/>
        </w:rPr>
        <w:t>first</w:t>
      </w:r>
      <w:r w:rsidRPr="00BF26C0">
        <w:rPr>
          <w:rFonts w:ascii="Times New Roman" w:eastAsia="Times New Roman" w:hAnsi="Times New Roman" w:cs="Times New Roman"/>
          <w:color w:val="000000"/>
          <w:sz w:val="24"/>
          <w:szCs w:val="24"/>
        </w:rPr>
        <w:t> part is an introductory part while the </w:t>
      </w:r>
      <w:r w:rsidRPr="00BF26C0">
        <w:rPr>
          <w:rFonts w:ascii="Times New Roman" w:eastAsia="Times New Roman" w:hAnsi="Times New Roman" w:cs="Times New Roman"/>
          <w:i/>
          <w:iCs/>
          <w:color w:val="000000"/>
          <w:sz w:val="24"/>
          <w:szCs w:val="24"/>
        </w:rPr>
        <w:t>second</w:t>
      </w:r>
      <w:r w:rsidRPr="00BF26C0">
        <w:rPr>
          <w:rFonts w:ascii="Times New Roman" w:eastAsia="Times New Roman" w:hAnsi="Times New Roman" w:cs="Times New Roman"/>
          <w:color w:val="000000"/>
          <w:sz w:val="24"/>
          <w:szCs w:val="24"/>
        </w:rPr>
        <w:t> part deals with the constitutional and legal provisions in existence in India relating to the doctrine. The </w:t>
      </w:r>
      <w:r w:rsidRPr="00BF26C0">
        <w:rPr>
          <w:rFonts w:ascii="Times New Roman" w:eastAsia="Times New Roman" w:hAnsi="Times New Roman" w:cs="Times New Roman"/>
          <w:i/>
          <w:iCs/>
          <w:color w:val="000000"/>
          <w:sz w:val="24"/>
          <w:szCs w:val="24"/>
        </w:rPr>
        <w:t>third </w:t>
      </w:r>
      <w:r w:rsidRPr="00BF26C0">
        <w:rPr>
          <w:rFonts w:ascii="Times New Roman" w:eastAsia="Times New Roman" w:hAnsi="Times New Roman" w:cs="Times New Roman"/>
          <w:color w:val="000000"/>
          <w:sz w:val="24"/>
          <w:szCs w:val="24"/>
        </w:rPr>
        <w:t>segment explains the applicability of the doctrine while the </w:t>
      </w:r>
      <w:r w:rsidRPr="00BF26C0">
        <w:rPr>
          <w:rFonts w:ascii="Times New Roman" w:eastAsia="Times New Roman" w:hAnsi="Times New Roman" w:cs="Times New Roman"/>
          <w:i/>
          <w:iCs/>
          <w:color w:val="000000"/>
          <w:sz w:val="24"/>
          <w:szCs w:val="24"/>
        </w:rPr>
        <w:t>fourth</w:t>
      </w:r>
      <w:r w:rsidRPr="00BF26C0">
        <w:rPr>
          <w:rFonts w:ascii="Times New Roman" w:eastAsia="Times New Roman" w:hAnsi="Times New Roman" w:cs="Times New Roman"/>
          <w:color w:val="000000"/>
          <w:sz w:val="24"/>
          <w:szCs w:val="24"/>
        </w:rPr>
        <w:t> part deals with the burden of proof of the doctrine. The last part is reserved for conclusions arrived at from the study.</w:t>
      </w:r>
    </w:p>
    <w:p w:rsidR="00BF26C0" w:rsidRPr="00BF26C0" w:rsidRDefault="00BF26C0" w:rsidP="00BF26C0">
      <w:pPr>
        <w:shd w:val="clear" w:color="auto" w:fill="FFFFFF"/>
        <w:spacing w:before="100" w:beforeAutospacing="1" w:after="100" w:afterAutospacing="1" w:line="240" w:lineRule="auto"/>
        <w:jc w:val="both"/>
        <w:rPr>
          <w:rFonts w:ascii="Segoe UI" w:eastAsia="Times New Roman" w:hAnsi="Segoe UI" w:cs="Segoe UI"/>
          <w:color w:val="000000"/>
          <w:sz w:val="27"/>
          <w:szCs w:val="27"/>
        </w:rPr>
      </w:pPr>
    </w:p>
    <w:p w:rsidR="00BF26C0" w:rsidRPr="000A7A9F" w:rsidRDefault="00BF26C0" w:rsidP="00BF26C0">
      <w:pPr>
        <w:shd w:val="clear" w:color="auto" w:fill="FFFFFF"/>
        <w:spacing w:before="100" w:beforeAutospacing="1" w:after="100" w:afterAutospacing="1" w:line="240" w:lineRule="auto"/>
        <w:jc w:val="center"/>
        <w:outlineLvl w:val="0"/>
        <w:rPr>
          <w:rFonts w:ascii="Times New Roman" w:eastAsia="Times New Roman" w:hAnsi="Times New Roman" w:cs="Times New Roman"/>
          <w:color w:val="000000"/>
          <w:kern w:val="36"/>
          <w:sz w:val="24"/>
          <w:szCs w:val="24"/>
        </w:rPr>
      </w:pPr>
    </w:p>
    <w:p w:rsidR="00E00E55" w:rsidRPr="000A7A9F" w:rsidRDefault="00BF26C0">
      <w:pPr>
        <w:rPr>
          <w:sz w:val="24"/>
          <w:szCs w:val="24"/>
        </w:rPr>
      </w:pPr>
    </w:p>
    <w:sectPr w:rsidR="00E00E55" w:rsidRPr="000A7A9F" w:rsidSect="008A79E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A27679"/>
    <w:multiLevelType w:val="multilevel"/>
    <w:tmpl w:val="9C8627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A7A9F"/>
    <w:rsid w:val="000A7A9F"/>
    <w:rsid w:val="003B7532"/>
    <w:rsid w:val="008A79EE"/>
    <w:rsid w:val="00B436AD"/>
    <w:rsid w:val="00BF26C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79EE"/>
  </w:style>
  <w:style w:type="paragraph" w:styleId="Heading1">
    <w:name w:val="heading 1"/>
    <w:basedOn w:val="Normal"/>
    <w:link w:val="Heading1Char"/>
    <w:uiPriority w:val="9"/>
    <w:qFormat/>
    <w:rsid w:val="000A7A9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A7A9F"/>
    <w:rPr>
      <w:rFonts w:ascii="Times New Roman" w:eastAsia="Times New Roman" w:hAnsi="Times New Roman" w:cs="Times New Roman"/>
      <w:b/>
      <w:bCs/>
      <w:kern w:val="36"/>
      <w:sz w:val="48"/>
      <w:szCs w:val="48"/>
    </w:rPr>
  </w:style>
  <w:style w:type="character" w:styleId="Strong">
    <w:name w:val="Strong"/>
    <w:basedOn w:val="DefaultParagraphFont"/>
    <w:uiPriority w:val="22"/>
    <w:qFormat/>
    <w:rsid w:val="00BF26C0"/>
    <w:rPr>
      <w:b/>
      <w:bCs/>
    </w:rPr>
  </w:style>
  <w:style w:type="paragraph" w:styleId="NormalWeb">
    <w:name w:val="Normal (Web)"/>
    <w:basedOn w:val="Normal"/>
    <w:uiPriority w:val="99"/>
    <w:semiHidden/>
    <w:unhideWhenUsed/>
    <w:rsid w:val="00BF26C0"/>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F26C0"/>
    <w:rPr>
      <w:i/>
      <w:iCs/>
    </w:rPr>
  </w:style>
</w:styles>
</file>

<file path=word/webSettings.xml><?xml version="1.0" encoding="utf-8"?>
<w:webSettings xmlns:r="http://schemas.openxmlformats.org/officeDocument/2006/relationships" xmlns:w="http://schemas.openxmlformats.org/wordprocessingml/2006/main">
  <w:divs>
    <w:div w:id="1222596809">
      <w:bodyDiv w:val="1"/>
      <w:marLeft w:val="0"/>
      <w:marRight w:val="0"/>
      <w:marTop w:val="0"/>
      <w:marBottom w:val="0"/>
      <w:divBdr>
        <w:top w:val="none" w:sz="0" w:space="0" w:color="auto"/>
        <w:left w:val="none" w:sz="0" w:space="0" w:color="auto"/>
        <w:bottom w:val="none" w:sz="0" w:space="0" w:color="auto"/>
        <w:right w:val="none" w:sz="0" w:space="0" w:color="auto"/>
      </w:divBdr>
    </w:div>
    <w:div w:id="1642341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337</Words>
  <Characters>1926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ngugi.beatrice</dc:creator>
  <cp:lastModifiedBy>ngugi.beatrice</cp:lastModifiedBy>
  <cp:revision>1</cp:revision>
  <dcterms:created xsi:type="dcterms:W3CDTF">2023-03-29T06:13:00Z</dcterms:created>
  <dcterms:modified xsi:type="dcterms:W3CDTF">2023-03-29T06:49:00Z</dcterms:modified>
</cp:coreProperties>
</file>