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34C1" w:rsidRPr="00441D11" w:rsidRDefault="009E3DFE" w:rsidP="00F934C1">
      <w:pPr>
        <w:spacing w:line="240" w:lineRule="auto"/>
        <w:jc w:val="center"/>
        <w:rPr>
          <w:b/>
        </w:rPr>
      </w:pPr>
      <w:bookmarkStart w:id="0" w:name="_Toc366583122"/>
      <w:bookmarkStart w:id="1" w:name="_GoBack"/>
      <w:r>
        <w:rPr>
          <w:b/>
          <w:noProof/>
        </w:rPr>
        <mc:AlternateContent>
          <mc:Choice Requires="wps">
            <w:drawing>
              <wp:anchor distT="0" distB="0" distL="114300" distR="114300" simplePos="0" relativeHeight="251673088" behindDoc="0" locked="0" layoutInCell="1" allowOverlap="1">
                <wp:simplePos x="0" y="0"/>
                <wp:positionH relativeFrom="column">
                  <wp:posOffset>2480310</wp:posOffset>
                </wp:positionH>
                <wp:positionV relativeFrom="paragraph">
                  <wp:posOffset>-459105</wp:posOffset>
                </wp:positionV>
                <wp:extent cx="333375" cy="266700"/>
                <wp:effectExtent l="13335" t="7620" r="5715" b="11430"/>
                <wp:wrapNone/>
                <wp:docPr id="97"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266700"/>
                        </a:xfrm>
                        <a:prstGeom prst="rect">
                          <a:avLst/>
                        </a:prstGeom>
                        <a:solidFill>
                          <a:srgbClr val="FFFFFF"/>
                        </a:solidFill>
                        <a:ln w="9525">
                          <a:solidFill>
                            <a:schemeClr val="bg1">
                              <a:lumMod val="100000"/>
                              <a:lumOff val="0"/>
                            </a:schemeClr>
                          </a:solidFill>
                          <a:miter lim="800000"/>
                          <a:headEnd/>
                          <a:tailEnd/>
                        </a:ln>
                      </wps:spPr>
                      <wps:txbx>
                        <w:txbxContent>
                          <w:p w:rsidR="00EE4979" w:rsidRDefault="00EE497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6" o:spid="_x0000_s1026" type="#_x0000_t202" style="position:absolute;left:0;text-align:left;margin-left:195.3pt;margin-top:-36.15pt;width:26.25pt;height:21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" strokecolor="white [3212]">
                <v:textbox>
                  <w:txbxContent>
                    <w:p w:rsidR="00EE4979" w:rsidRDefault="00EE4979"/>
                  </w:txbxContent>
                </v:textbox>
              </v:shape>
            </w:pict>
          </mc:Fallback>
        </mc:AlternateContent>
      </w:r>
      <w:r w:rsidRPr="00441D11">
        <w:rPr>
          <w:b/>
        </w:rPr>
        <w:t>Hydroxyap</w:t>
      </w:r>
      <w:r>
        <w:rPr>
          <w:b/>
        </w:rPr>
        <w:t>atite Nano-Fertilizers Effects o</w:t>
      </w:r>
      <w:r w:rsidRPr="00441D11">
        <w:rPr>
          <w:b/>
        </w:rPr>
        <w:t>n Adsor</w:t>
      </w:r>
      <w:r>
        <w:rPr>
          <w:b/>
        </w:rPr>
        <w:t xml:space="preserve">ption </w:t>
      </w:r>
      <w:bookmarkEnd w:id="1"/>
      <w:r>
        <w:rPr>
          <w:b/>
        </w:rPr>
        <w:t>a</w:t>
      </w:r>
      <w:r w:rsidRPr="00441D11">
        <w:rPr>
          <w:b/>
        </w:rPr>
        <w:t>nd</w:t>
      </w:r>
      <w:r>
        <w:rPr>
          <w:b/>
        </w:rPr>
        <w:t xml:space="preserve"> Uptake of Cadmium and Lead, Nutrient Release and Growth Performance o</w:t>
      </w:r>
      <w:r w:rsidRPr="00441D11">
        <w:rPr>
          <w:b/>
        </w:rPr>
        <w:t>f Selected Crops</w:t>
      </w:r>
    </w:p>
    <w:p w:rsidR="00F934C1" w:rsidRPr="00441D11" w:rsidRDefault="00F934C1" w:rsidP="00F934C1">
      <w:pPr>
        <w:jc w:val="center"/>
        <w:rPr>
          <w:b/>
        </w:rPr>
      </w:pPr>
    </w:p>
    <w:p w:rsidR="00F934C1" w:rsidRPr="00441D11" w:rsidRDefault="00F934C1" w:rsidP="00F934C1">
      <w:pPr>
        <w:jc w:val="center"/>
        <w:rPr>
          <w:b/>
        </w:rPr>
      </w:pPr>
    </w:p>
    <w:p w:rsidR="00F934C1" w:rsidRPr="00441D11" w:rsidRDefault="00F934C1" w:rsidP="00F934C1">
      <w:pPr>
        <w:jc w:val="center"/>
        <w:rPr>
          <w:b/>
        </w:rPr>
      </w:pPr>
    </w:p>
    <w:p w:rsidR="00F934C1" w:rsidRDefault="00F934C1" w:rsidP="00F934C1">
      <w:pPr>
        <w:jc w:val="center"/>
        <w:rPr>
          <w:b/>
        </w:rPr>
      </w:pPr>
    </w:p>
    <w:p w:rsidR="006D47C4" w:rsidRDefault="006D47C4" w:rsidP="00F934C1">
      <w:pPr>
        <w:jc w:val="center"/>
        <w:rPr>
          <w:b/>
        </w:rPr>
      </w:pPr>
    </w:p>
    <w:p w:rsidR="000B2FDC" w:rsidRPr="00441D11" w:rsidRDefault="000B2FDC" w:rsidP="00F934C1">
      <w:pPr>
        <w:jc w:val="center"/>
        <w:rPr>
          <w:b/>
        </w:rPr>
      </w:pPr>
    </w:p>
    <w:p w:rsidR="00F934C1" w:rsidRPr="00441D11" w:rsidRDefault="009E3DFE" w:rsidP="00F934C1">
      <w:pPr>
        <w:jc w:val="center"/>
        <w:rPr>
          <w:b/>
        </w:rPr>
      </w:pPr>
      <w:r>
        <w:rPr>
          <w:b/>
        </w:rPr>
        <w:t>Ngorwe Evans Nyaenya (M Sc)</w:t>
      </w:r>
    </w:p>
    <w:p w:rsidR="00F934C1" w:rsidRPr="00441D11" w:rsidRDefault="009E3DFE" w:rsidP="00F934C1">
      <w:pPr>
        <w:jc w:val="center"/>
        <w:rPr>
          <w:b/>
        </w:rPr>
      </w:pPr>
      <w:r w:rsidRPr="00441D11">
        <w:rPr>
          <w:b/>
        </w:rPr>
        <w:t>I84/28935/2013</w:t>
      </w:r>
    </w:p>
    <w:p w:rsidR="00F934C1" w:rsidRPr="00441D11" w:rsidRDefault="00F934C1" w:rsidP="00F934C1">
      <w:pPr>
        <w:jc w:val="center"/>
        <w:rPr>
          <w:b/>
        </w:rPr>
      </w:pPr>
    </w:p>
    <w:p w:rsidR="00F934C1" w:rsidRDefault="009E3DFE" w:rsidP="00F934C1">
      <w:pPr>
        <w:tabs>
          <w:tab w:val="left" w:pos="5205"/>
        </w:tabs>
        <w:rPr>
          <w:b/>
        </w:rPr>
      </w:pPr>
      <w:r w:rsidRPr="00441D11">
        <w:rPr>
          <w:b/>
        </w:rPr>
        <w:tab/>
      </w:r>
    </w:p>
    <w:p w:rsidR="006D47C4" w:rsidRPr="00441D11" w:rsidRDefault="006D47C4" w:rsidP="00F934C1">
      <w:pPr>
        <w:tabs>
          <w:tab w:val="left" w:pos="5205"/>
        </w:tabs>
        <w:rPr>
          <w:b/>
        </w:rPr>
      </w:pPr>
    </w:p>
    <w:p w:rsidR="00F934C1" w:rsidRDefault="00F934C1" w:rsidP="00F934C1">
      <w:pPr>
        <w:jc w:val="center"/>
        <w:rPr>
          <w:b/>
        </w:rPr>
      </w:pPr>
    </w:p>
    <w:p w:rsidR="000B2FDC" w:rsidRPr="00441D11" w:rsidRDefault="000B2FDC" w:rsidP="00F934C1">
      <w:pPr>
        <w:jc w:val="center"/>
        <w:rPr>
          <w:b/>
        </w:rPr>
      </w:pPr>
    </w:p>
    <w:p w:rsidR="00F934C1" w:rsidRPr="00441D11" w:rsidRDefault="00F934C1" w:rsidP="00F934C1">
      <w:pPr>
        <w:pStyle w:val="Default"/>
      </w:pPr>
    </w:p>
    <w:p w:rsidR="00F934C1" w:rsidRPr="009E3DFE" w:rsidRDefault="009E3DFE" w:rsidP="009E3DFE">
      <w:pPr>
        <w:spacing w:line="240" w:lineRule="auto"/>
        <w:jc w:val="center"/>
        <w:rPr>
          <w:rStyle w:val="Heading2Char"/>
          <w:rFonts w:eastAsia="Times New Roman" w:cs="Times New Roman"/>
          <w:bCs w:val="0"/>
          <w:color w:val="auto"/>
          <w:szCs w:val="24"/>
        </w:rPr>
      </w:pPr>
      <w:r w:rsidRPr="00441D11">
        <w:rPr>
          <w:b/>
          <w:bCs/>
        </w:rPr>
        <w:t xml:space="preserve">A </w:t>
      </w:r>
      <w:r w:rsidRPr="00441D11">
        <w:rPr>
          <w:b/>
        </w:rPr>
        <w:t>Thesis</w:t>
      </w:r>
      <w:r>
        <w:rPr>
          <w:b/>
          <w:bCs/>
        </w:rPr>
        <w:t xml:space="preserve"> Submitted in Fulfillment of the Requirements for the Award of the Degree o</w:t>
      </w:r>
      <w:r w:rsidRPr="00441D11">
        <w:rPr>
          <w:b/>
          <w:bCs/>
        </w:rPr>
        <w:t xml:space="preserve">f </w:t>
      </w:r>
      <w:r w:rsidRPr="00441D11">
        <w:rPr>
          <w:b/>
        </w:rPr>
        <w:t xml:space="preserve">Doctor </w:t>
      </w:r>
      <w:r>
        <w:rPr>
          <w:b/>
        </w:rPr>
        <w:t>of</w:t>
      </w:r>
      <w:r w:rsidRPr="00441D11">
        <w:rPr>
          <w:b/>
        </w:rPr>
        <w:t xml:space="preserve"> Philosophy (Chemistry) </w:t>
      </w:r>
      <w:r>
        <w:rPr>
          <w:b/>
          <w:bCs/>
        </w:rPr>
        <w:t>in the School of Pure and Applied Sciences o</w:t>
      </w:r>
      <w:r w:rsidRPr="00441D11">
        <w:rPr>
          <w:b/>
          <w:bCs/>
        </w:rPr>
        <w:t>f Kenyatta University</w:t>
      </w:r>
      <w:bookmarkStart w:id="2" w:name="_Toc55129192"/>
      <w:bookmarkStart w:id="3" w:name="_Toc56027954"/>
      <w:bookmarkStart w:id="4" w:name="_Toc68435356"/>
      <w:bookmarkStart w:id="5" w:name="_Toc85441821"/>
      <w:bookmarkStart w:id="6" w:name="_Toc85441973"/>
      <w:bookmarkStart w:id="7" w:name="_Toc85442229"/>
      <w:bookmarkStart w:id="8" w:name="_Toc85482859"/>
      <w:bookmarkStart w:id="9" w:name="_Toc89755010"/>
      <w:bookmarkStart w:id="10" w:name="_Toc96341345"/>
      <w:bookmarkStart w:id="11" w:name="_Toc113140679"/>
      <w:bookmarkStart w:id="12" w:name="_Toc113433708"/>
      <w:bookmarkStart w:id="13" w:name="_Toc114763348"/>
      <w:bookmarkStart w:id="14" w:name="_Toc115617053"/>
      <w:bookmarkStart w:id="15" w:name="_Toc115618307"/>
      <w:bookmarkStart w:id="16" w:name="_Toc118736030"/>
      <w:bookmarkStart w:id="17" w:name="_Toc119852791"/>
      <w:bookmarkStart w:id="18" w:name="_Toc119910925"/>
      <w:bookmarkStart w:id="19" w:name="_Toc120041643"/>
      <w:bookmarkStart w:id="20" w:name="_Toc143108028"/>
      <w:bookmarkStart w:id="21" w:name="_Toc143675873"/>
      <w:bookmarkStart w:id="22" w:name="_Toc143682865"/>
      <w:bookmarkStart w:id="23" w:name="_Toc143722340"/>
      <w:bookmarkStart w:id="24" w:name="_Toc143852644"/>
      <w:bookmarkStart w:id="25" w:name="_Toc144819982"/>
      <w:r>
        <w:rPr>
          <w:b/>
          <w:bCs/>
        </w:rPr>
        <w:t>,</w:t>
      </w:r>
      <w:r w:rsidRPr="009E3DFE">
        <w:rPr>
          <w:b/>
        </w:rPr>
        <w:t>September, 2023</w:t>
      </w:r>
      <w:r>
        <w:rPr>
          <w:b/>
        </w:rPr>
        <w:t>.</w:t>
      </w:r>
      <w:r>
        <w:br w:type="page"/>
      </w:r>
      <w:bookmarkStart w:id="26" w:name="_Toc119852792"/>
      <w:bookmarkStart w:id="27" w:name="_Toc119910926"/>
      <w:bookmarkStart w:id="28" w:name="_Toc120041644"/>
      <w:bookmarkEnd w:id="0"/>
      <w:r w:rsidRPr="006D47C4">
        <w:rPr>
          <w:rStyle w:val="Heading2Char"/>
          <w:b w:val="0"/>
          <w:bCs w:val="0"/>
          <w:szCs w:val="28"/>
        </w:rPr>
        <w:lastRenderedPageBreak/>
        <w:t>Declaration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F934C1" w:rsidRPr="00A025E1" w:rsidRDefault="00F934C1" w:rsidP="00F934C1">
      <w:r w:rsidRPr="00F748AC">
        <w:t xml:space="preserve">I hereby declare that this is my original work </w:t>
      </w:r>
      <w:r w:rsidR="00576E80">
        <w:t>and has not been presented for</w:t>
      </w:r>
      <w:r w:rsidRPr="00F748AC">
        <w:t xml:space="preserve"> degree</w:t>
      </w:r>
      <w:r w:rsidR="00576E80">
        <w:t xml:space="preserve"> or other awards</w:t>
      </w:r>
      <w:r w:rsidRPr="00F748AC">
        <w:t xml:space="preserve"> in any other university</w:t>
      </w:r>
    </w:p>
    <w:p w:rsidR="00F934C1" w:rsidRPr="006357B3" w:rsidRDefault="00F934C1" w:rsidP="006357B3">
      <w:pPr>
        <w:spacing w:line="240" w:lineRule="auto"/>
      </w:pPr>
      <w:r w:rsidRPr="006357B3">
        <w:t>Ngorwe Evans Nyaenya</w:t>
      </w:r>
    </w:p>
    <w:p w:rsidR="006357B3" w:rsidRPr="006357B3" w:rsidRDefault="006357B3" w:rsidP="006357B3">
      <w:pPr>
        <w:spacing w:line="240" w:lineRule="auto"/>
      </w:pPr>
      <w:r w:rsidRPr="006357B3">
        <w:t>I84/28935/2013</w:t>
      </w:r>
    </w:p>
    <w:p w:rsidR="00F934C1" w:rsidRPr="006357B3" w:rsidRDefault="00576E80" w:rsidP="006357B3">
      <w:pPr>
        <w:spacing w:line="240" w:lineRule="auto"/>
      </w:pPr>
      <w:r w:rsidRPr="006357B3">
        <w:t>Department of Chemistry</w:t>
      </w:r>
    </w:p>
    <w:p w:rsidR="00F934C1" w:rsidRPr="00F748AC" w:rsidRDefault="00F934C1" w:rsidP="00F934C1">
      <w:pPr>
        <w:spacing w:line="240" w:lineRule="auto"/>
        <w:rPr>
          <w:b/>
        </w:rPr>
      </w:pPr>
    </w:p>
    <w:p w:rsidR="00F934C1" w:rsidRPr="00F748AC" w:rsidRDefault="00F934C1" w:rsidP="00F934C1">
      <w:r w:rsidRPr="00F748AC">
        <w:t>Sign _________________________Date _____________________________</w:t>
      </w:r>
    </w:p>
    <w:p w:rsidR="00F934C1" w:rsidRDefault="00F934C1" w:rsidP="00F934C1"/>
    <w:p w:rsidR="00576E80" w:rsidRPr="006357B3" w:rsidRDefault="00576E80" w:rsidP="00576E80">
      <w:pPr>
        <w:jc w:val="center"/>
        <w:rPr>
          <w:b/>
        </w:rPr>
      </w:pPr>
      <w:r w:rsidRPr="006357B3">
        <w:rPr>
          <w:b/>
        </w:rPr>
        <w:t>SUPERVISORS</w:t>
      </w:r>
    </w:p>
    <w:p w:rsidR="00F934C1" w:rsidRPr="00F748AC" w:rsidRDefault="00576E80" w:rsidP="00F934C1">
      <w:r>
        <w:t>We confirm that the work reported in this thesis was carried by the student under our supervision.</w:t>
      </w:r>
    </w:p>
    <w:p w:rsidR="00F934C1" w:rsidRPr="00F748AC" w:rsidRDefault="00F934C1" w:rsidP="006357B3">
      <w:pPr>
        <w:spacing w:line="240" w:lineRule="auto"/>
      </w:pPr>
      <w:r w:rsidRPr="00F748AC">
        <w:t>Prof. Hudson Nyambaka,</w:t>
      </w:r>
    </w:p>
    <w:p w:rsidR="00F934C1" w:rsidRPr="00F748AC" w:rsidRDefault="00F934C1" w:rsidP="006357B3">
      <w:pPr>
        <w:spacing w:line="240" w:lineRule="auto"/>
      </w:pPr>
      <w:r w:rsidRPr="00F748AC">
        <w:t>Department of Chemistry,</w:t>
      </w:r>
    </w:p>
    <w:p w:rsidR="00F934C1" w:rsidRPr="00F748AC" w:rsidRDefault="00F934C1" w:rsidP="006357B3">
      <w:pPr>
        <w:spacing w:line="240" w:lineRule="auto"/>
      </w:pPr>
      <w:r>
        <w:t>Kenyatta University.</w:t>
      </w:r>
    </w:p>
    <w:p w:rsidR="00F934C1" w:rsidRPr="00F748AC" w:rsidRDefault="00F934C1" w:rsidP="00F934C1">
      <w:pPr>
        <w:spacing w:line="240" w:lineRule="auto"/>
        <w:rPr>
          <w:b/>
        </w:rPr>
      </w:pPr>
    </w:p>
    <w:p w:rsidR="00F934C1" w:rsidRDefault="00F934C1" w:rsidP="00F934C1">
      <w:r w:rsidRPr="00F748AC">
        <w:t>Sign __________________________                  Date_______________________</w:t>
      </w:r>
    </w:p>
    <w:p w:rsidR="00F934C1" w:rsidRDefault="00F934C1" w:rsidP="00F934C1">
      <w:pPr>
        <w:spacing w:line="240" w:lineRule="auto"/>
        <w:jc w:val="center"/>
      </w:pPr>
    </w:p>
    <w:p w:rsidR="00F934C1" w:rsidRPr="00F748AC" w:rsidRDefault="00F934C1" w:rsidP="006357B3">
      <w:pPr>
        <w:spacing w:line="240" w:lineRule="auto"/>
      </w:pPr>
      <w:r w:rsidRPr="00F748AC">
        <w:t xml:space="preserve">Dr. Mildred </w:t>
      </w:r>
      <w:r>
        <w:t xml:space="preserve">P. </w:t>
      </w:r>
      <w:r w:rsidRPr="00F748AC">
        <w:t>Nawiri,</w:t>
      </w:r>
    </w:p>
    <w:p w:rsidR="00F934C1" w:rsidRPr="00F748AC" w:rsidRDefault="00F934C1" w:rsidP="006357B3">
      <w:pPr>
        <w:spacing w:line="240" w:lineRule="auto"/>
      </w:pPr>
      <w:r w:rsidRPr="00F748AC">
        <w:t>Department of Chemistry,</w:t>
      </w:r>
    </w:p>
    <w:p w:rsidR="00F934C1" w:rsidRPr="00F748AC" w:rsidRDefault="00F934C1" w:rsidP="006357B3">
      <w:pPr>
        <w:spacing w:line="240" w:lineRule="auto"/>
        <w:rPr>
          <w:b/>
        </w:rPr>
      </w:pPr>
      <w:r w:rsidRPr="00F748AC">
        <w:t>Kenyatta University</w:t>
      </w:r>
      <w:r>
        <w:rPr>
          <w:b/>
        </w:rPr>
        <w:t>.</w:t>
      </w:r>
    </w:p>
    <w:p w:rsidR="00F934C1" w:rsidRPr="00F748AC" w:rsidRDefault="00F934C1" w:rsidP="00F934C1"/>
    <w:p w:rsidR="00F934C1" w:rsidRDefault="00F934C1" w:rsidP="00F934C1">
      <w:r w:rsidRPr="00F748AC">
        <w:t>Sign __________________________                  Date_______________________</w:t>
      </w:r>
    </w:p>
    <w:p w:rsidR="00F934C1" w:rsidRPr="00F748AC" w:rsidRDefault="00F934C1" w:rsidP="00F934C1"/>
    <w:p w:rsidR="00F934C1" w:rsidRPr="00F748AC" w:rsidRDefault="00F934C1" w:rsidP="006357B3">
      <w:pPr>
        <w:spacing w:line="240" w:lineRule="auto"/>
      </w:pPr>
      <w:r w:rsidRPr="00F748AC">
        <w:t>Prof. Jane Murungi,</w:t>
      </w:r>
    </w:p>
    <w:p w:rsidR="00F934C1" w:rsidRPr="00F748AC" w:rsidRDefault="00F934C1" w:rsidP="006357B3">
      <w:pPr>
        <w:spacing w:line="240" w:lineRule="auto"/>
      </w:pPr>
      <w:r w:rsidRPr="00F748AC">
        <w:t>Department of Chemistry,</w:t>
      </w:r>
    </w:p>
    <w:p w:rsidR="00F934C1" w:rsidRPr="00F748AC" w:rsidRDefault="00F934C1" w:rsidP="006357B3">
      <w:pPr>
        <w:spacing w:line="240" w:lineRule="auto"/>
        <w:rPr>
          <w:b/>
        </w:rPr>
      </w:pPr>
      <w:r w:rsidRPr="00F748AC">
        <w:t>Kenyatta University</w:t>
      </w:r>
      <w:r>
        <w:t>.</w:t>
      </w:r>
    </w:p>
    <w:p w:rsidR="00F934C1" w:rsidRPr="00F748AC" w:rsidRDefault="00F934C1" w:rsidP="00F934C1"/>
    <w:p w:rsidR="00F934C1" w:rsidRPr="00F748AC" w:rsidRDefault="00F934C1" w:rsidP="00F934C1">
      <w:r w:rsidRPr="00F748AC">
        <w:t>Sign __________________________                  Date_______________________</w:t>
      </w:r>
    </w:p>
    <w:p w:rsidR="00F934C1" w:rsidRDefault="00F934C1" w:rsidP="00F934C1">
      <w:pPr>
        <w:autoSpaceDE/>
        <w:autoSpaceDN/>
        <w:adjustRightInd/>
        <w:spacing w:after="200" w:line="276" w:lineRule="auto"/>
        <w:jc w:val="left"/>
      </w:pPr>
      <w:r>
        <w:br w:type="page"/>
      </w:r>
      <w:bookmarkStart w:id="29" w:name="_Toc366583123"/>
    </w:p>
    <w:p w:rsidR="00F934C1" w:rsidRPr="00B02ABA" w:rsidRDefault="00F934C1" w:rsidP="00F934C1">
      <w:pPr>
        <w:pStyle w:val="Heading1"/>
      </w:pPr>
      <w:bookmarkStart w:id="30" w:name="_Toc144819983"/>
      <w:r w:rsidRPr="00B02ABA">
        <w:lastRenderedPageBreak/>
        <w:t>DEDICATION</w:t>
      </w:r>
      <w:bookmarkEnd w:id="29"/>
      <w:bookmarkEnd w:id="30"/>
    </w:p>
    <w:p w:rsidR="00F934C1" w:rsidRPr="00F748AC" w:rsidRDefault="00F934C1" w:rsidP="00F934C1">
      <w:r w:rsidRPr="00F748AC">
        <w:t xml:space="preserve">To my wife </w:t>
      </w:r>
      <w:r>
        <w:t>Ongera</w:t>
      </w:r>
      <w:r w:rsidRPr="00F748AC">
        <w:t xml:space="preserve"> Tabitha, daughter Flavian</w:t>
      </w:r>
      <w:r>
        <w:t xml:space="preserve"> Bonareri</w:t>
      </w:r>
      <w:r w:rsidRPr="00F748AC">
        <w:t>, sons Adrian</w:t>
      </w:r>
      <w:r>
        <w:t xml:space="preserve"> Nyaenya</w:t>
      </w:r>
      <w:r w:rsidRPr="00F748AC">
        <w:t>, Fabian</w:t>
      </w:r>
      <w:r>
        <w:t xml:space="preserve"> Ongera</w:t>
      </w:r>
      <w:r w:rsidRPr="00F748AC">
        <w:t xml:space="preserve"> and Aidan</w:t>
      </w:r>
      <w:r>
        <w:t xml:space="preserve"> Momanyi</w:t>
      </w:r>
      <w:r w:rsidRPr="00F748AC">
        <w:t xml:space="preserve">, together with my </w:t>
      </w:r>
      <w:r>
        <w:t xml:space="preserve">father Wilfred Nyaenya and mother Teresia Kerubo </w:t>
      </w:r>
      <w:r w:rsidRPr="00F748AC">
        <w:t>who</w:t>
      </w:r>
      <w:r>
        <w:t>m am indebted by their</w:t>
      </w:r>
      <w:r w:rsidRPr="00F748AC">
        <w:t xml:space="preserve"> encouragement</w:t>
      </w:r>
      <w:r>
        <w:t>,</w:t>
      </w:r>
      <w:r w:rsidRPr="00F748AC">
        <w:t xml:space="preserve"> moral </w:t>
      </w:r>
      <w:r w:rsidR="003629A5" w:rsidRPr="00F748AC">
        <w:t xml:space="preserve">support </w:t>
      </w:r>
      <w:r w:rsidR="003629A5">
        <w:t>and</w:t>
      </w:r>
      <w:r>
        <w:t xml:space="preserve"> </w:t>
      </w:r>
      <w:r w:rsidRPr="00F748AC">
        <w:t>insightful ideas,</w:t>
      </w:r>
      <w:r>
        <w:t xml:space="preserve"> that made</w:t>
      </w:r>
      <w:r w:rsidRPr="00F748AC">
        <w:t xml:space="preserve"> this </w:t>
      </w:r>
      <w:r>
        <w:t>study</w:t>
      </w:r>
      <w:r w:rsidRPr="00F748AC">
        <w:t xml:space="preserve"> a reality. </w:t>
      </w:r>
    </w:p>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Pr="00F748AC" w:rsidRDefault="00F934C1" w:rsidP="00F934C1"/>
    <w:p w:rsidR="00F934C1" w:rsidRDefault="00F934C1" w:rsidP="00F934C1"/>
    <w:p w:rsidR="00F934C1" w:rsidRDefault="00F934C1" w:rsidP="00F934C1">
      <w:pPr>
        <w:autoSpaceDE/>
        <w:autoSpaceDN/>
        <w:adjustRightInd/>
        <w:spacing w:after="200" w:line="276" w:lineRule="auto"/>
        <w:jc w:val="left"/>
      </w:pPr>
      <w:r>
        <w:br w:type="page"/>
      </w:r>
    </w:p>
    <w:p w:rsidR="00F934C1" w:rsidRPr="00FA6DD7" w:rsidRDefault="00F934C1" w:rsidP="00F934C1">
      <w:pPr>
        <w:pStyle w:val="Heading1"/>
      </w:pPr>
      <w:bookmarkStart w:id="31" w:name="_Toc366583124"/>
      <w:bookmarkStart w:id="32" w:name="_Toc144819984"/>
      <w:r w:rsidRPr="00FA6DD7">
        <w:lastRenderedPageBreak/>
        <w:t>ACKNOWLEDGEMENTS</w:t>
      </w:r>
      <w:bookmarkEnd w:id="31"/>
      <w:bookmarkEnd w:id="32"/>
    </w:p>
    <w:p w:rsidR="00F934C1" w:rsidRPr="00090870" w:rsidRDefault="00F934C1" w:rsidP="006357B3">
      <w:pPr>
        <w:pStyle w:val="NoSpacing"/>
        <w:spacing w:line="480" w:lineRule="auto"/>
        <w:rPr>
          <w:rFonts w:eastAsiaTheme="minorHAnsi"/>
          <w:b/>
          <w:bCs/>
          <w:i/>
          <w:iCs/>
        </w:rPr>
      </w:pPr>
      <w:r w:rsidRPr="00090870">
        <w:t>Lots of gra</w:t>
      </w:r>
      <w:r>
        <w:t>ti</w:t>
      </w:r>
      <w:r w:rsidRPr="00090870">
        <w:t>tude goes to my supervisors Dr. Mildred Nawiri,</w:t>
      </w:r>
      <w:r>
        <w:t xml:space="preserve"> </w:t>
      </w:r>
      <w:r w:rsidRPr="00090870">
        <w:t xml:space="preserve">Prof. Jane Murungi </w:t>
      </w:r>
      <w:r>
        <w:t xml:space="preserve">and </w:t>
      </w:r>
      <w:r w:rsidRPr="00090870">
        <w:t>Prof. Hudson</w:t>
      </w:r>
      <w:r>
        <w:t xml:space="preserve"> Nyambaka</w:t>
      </w:r>
      <w:r w:rsidRPr="00090870">
        <w:t xml:space="preserve"> for their encouragement, close supervision and insightful ideas in course of my study. </w:t>
      </w:r>
      <w:r>
        <w:t>My gratitude also goes</w:t>
      </w:r>
      <w:r w:rsidRPr="00090870">
        <w:t xml:space="preserve"> to the Kenyatta University’s Chemistry departmental lecturers, for their insightful ideas during my departmental presentations and defense. Special thanks go to the Kenyatta University technicians, Dr. Jane Mburu and Mr. John Kari</w:t>
      </w:r>
      <w:r>
        <w:t>uki who assisted me with AAS</w:t>
      </w:r>
      <w:r w:rsidRPr="00090870">
        <w:t xml:space="preserve">, </w:t>
      </w:r>
      <w:r>
        <w:t xml:space="preserve">UV, </w:t>
      </w:r>
      <w:r w:rsidRPr="00090870">
        <w:t xml:space="preserve">XRD, SEM, FTIR and their technical support during the lab work analysis. I am also grateful to </w:t>
      </w:r>
      <w:r w:rsidRPr="00090870">
        <w:rPr>
          <w:iCs/>
        </w:rPr>
        <w:t>IOSR Journal of Applied Chemistry (IOSR-JAC</w:t>
      </w:r>
      <w:r w:rsidRPr="00090870">
        <w:rPr>
          <w:i/>
          <w:iCs/>
        </w:rPr>
        <w:t xml:space="preserve">) </w:t>
      </w:r>
      <w:r w:rsidRPr="00090870">
        <w:t>and International Journal of Science &amp; Technoledge (IJS</w:t>
      </w:r>
      <w:r>
        <w:t>T) journals for publishing</w:t>
      </w:r>
      <w:r w:rsidRPr="00090870">
        <w:t xml:space="preserve"> part of my work.</w:t>
      </w:r>
    </w:p>
    <w:p w:rsidR="00F934C1" w:rsidRPr="00E82285" w:rsidRDefault="00F934C1" w:rsidP="006357B3">
      <w:pPr>
        <w:pStyle w:val="NoSpacing"/>
        <w:spacing w:line="480" w:lineRule="auto"/>
      </w:pPr>
    </w:p>
    <w:p w:rsidR="00F934C1" w:rsidRDefault="00F934C1" w:rsidP="006357B3">
      <w:pPr>
        <w:pStyle w:val="NoSpacing"/>
        <w:spacing w:line="480" w:lineRule="auto"/>
      </w:pPr>
      <w:r w:rsidRPr="00E82285">
        <w:t>In addition, special thanks go to my dad Wilfred</w:t>
      </w:r>
      <w:r>
        <w:t xml:space="preserve"> Nyaenya,</w:t>
      </w:r>
      <w:r w:rsidRPr="00E82285">
        <w:t xml:space="preserve"> mum </w:t>
      </w:r>
      <w:r>
        <w:t xml:space="preserve">Teresia </w:t>
      </w:r>
      <w:r w:rsidRPr="00E82285">
        <w:t>Kerubo, brothers Gilly</w:t>
      </w:r>
      <w:r>
        <w:t xml:space="preserve"> Maranga</w:t>
      </w:r>
      <w:r w:rsidRPr="00E82285">
        <w:t>, Peter</w:t>
      </w:r>
      <w:r>
        <w:t xml:space="preserve"> Otwori</w:t>
      </w:r>
      <w:r w:rsidRPr="00E82285">
        <w:t xml:space="preserve">, </w:t>
      </w:r>
      <w:r>
        <w:t>A</w:t>
      </w:r>
      <w:r w:rsidRPr="00E82285">
        <w:t>lex</w:t>
      </w:r>
      <w:r>
        <w:t xml:space="preserve"> Nyamosi</w:t>
      </w:r>
      <w:r w:rsidRPr="00E82285">
        <w:t>, Andrey</w:t>
      </w:r>
      <w:r>
        <w:t xml:space="preserve"> Momanyi</w:t>
      </w:r>
      <w:r w:rsidRPr="00E82285">
        <w:t xml:space="preserve"> and sisters</w:t>
      </w:r>
      <w:r>
        <w:t>’</w:t>
      </w:r>
      <w:r w:rsidRPr="00E82285">
        <w:t xml:space="preserve"> Judy</w:t>
      </w:r>
      <w:r>
        <w:t xml:space="preserve"> Kwamboka</w:t>
      </w:r>
      <w:r w:rsidRPr="00E82285">
        <w:t>, Hyline</w:t>
      </w:r>
      <w:r>
        <w:t xml:space="preserve"> Kerubo</w:t>
      </w:r>
      <w:r w:rsidRPr="00E82285">
        <w:t>, Jossy</w:t>
      </w:r>
      <w:r>
        <w:t xml:space="preserve"> Moraa</w:t>
      </w:r>
      <w:r w:rsidRPr="00E82285">
        <w:t xml:space="preserve"> for their unquantified</w:t>
      </w:r>
      <w:r>
        <w:t xml:space="preserve"> moral and financial support. </w:t>
      </w:r>
      <w:r w:rsidRPr="00E82285">
        <w:t>Not forgetting my friends, Kevin</w:t>
      </w:r>
      <w:r>
        <w:t xml:space="preserve"> Omollo</w:t>
      </w:r>
      <w:r w:rsidRPr="00E82285">
        <w:t xml:space="preserve">, </w:t>
      </w:r>
      <w:r>
        <w:t>Samuel Ndungu and Edwin Nyangau</w:t>
      </w:r>
      <w:r w:rsidRPr="00E82285">
        <w:t xml:space="preserve">, </w:t>
      </w:r>
      <w:r>
        <w:t>whom we collaborated working</w:t>
      </w:r>
      <w:r w:rsidRPr="00E82285">
        <w:t xml:space="preserve"> in the laboratories. </w:t>
      </w:r>
      <w:r>
        <w:t>Lastly am indebted to my Spouse</w:t>
      </w:r>
      <w:r w:rsidRPr="00E82285">
        <w:t>, Mrs.</w:t>
      </w:r>
      <w:r>
        <w:t xml:space="preserve"> </w:t>
      </w:r>
      <w:r w:rsidRPr="00E82285">
        <w:t>N</w:t>
      </w:r>
      <w:r>
        <w:t>yanchoka</w:t>
      </w:r>
      <w:r w:rsidRPr="00E82285">
        <w:t xml:space="preserve"> Tabitha</w:t>
      </w:r>
      <w:r>
        <w:t xml:space="preserve"> </w:t>
      </w:r>
      <w:r w:rsidRPr="00E82285">
        <w:t>and beloved kids; daughter Flavian</w:t>
      </w:r>
      <w:r>
        <w:t xml:space="preserve"> Bonareri</w:t>
      </w:r>
      <w:r w:rsidRPr="00E82285">
        <w:t xml:space="preserve"> and sons Adrian</w:t>
      </w:r>
      <w:r>
        <w:t xml:space="preserve"> Nyaenya</w:t>
      </w:r>
      <w:r w:rsidRPr="00E82285">
        <w:t xml:space="preserve">, Fabian </w:t>
      </w:r>
      <w:r>
        <w:t xml:space="preserve">Ongera </w:t>
      </w:r>
      <w:r w:rsidRPr="00E82285">
        <w:t xml:space="preserve">and Aidan </w:t>
      </w:r>
      <w:r>
        <w:t>Momanyi whom I am</w:t>
      </w:r>
      <w:r w:rsidRPr="00E82285">
        <w:t xml:space="preserve"> venerated for their love and patience, during the entire period I was undertaking my PhD studies.</w:t>
      </w:r>
    </w:p>
    <w:p w:rsidR="00F934C1" w:rsidRPr="00E82285" w:rsidRDefault="00F934C1" w:rsidP="00F934C1">
      <w:pPr>
        <w:rPr>
          <w:color w:val="000000" w:themeColor="text1"/>
        </w:rPr>
      </w:pPr>
    </w:p>
    <w:p w:rsidR="00F934C1" w:rsidRDefault="00F934C1" w:rsidP="00F934C1"/>
    <w:p w:rsidR="00F934C1" w:rsidRDefault="00F934C1" w:rsidP="00F934C1"/>
    <w:p w:rsidR="00F934C1" w:rsidRPr="00C323D5" w:rsidRDefault="00F934C1" w:rsidP="00F934C1">
      <w:pPr>
        <w:pStyle w:val="Heading1"/>
      </w:pPr>
      <w:r>
        <w:br w:type="page"/>
      </w:r>
      <w:bookmarkStart w:id="33" w:name="_Toc144819985"/>
      <w:r w:rsidRPr="00C323D5">
        <w:lastRenderedPageBreak/>
        <w:t>TABLE OF CONTENTS</w:t>
      </w:r>
      <w:bookmarkEnd w:id="33"/>
    </w:p>
    <w:sdt>
      <w:sdtPr>
        <w:rPr>
          <w:b/>
          <w:bCs/>
          <w:noProof w:val="0"/>
          <w:sz w:val="16"/>
          <w:szCs w:val="16"/>
        </w:rPr>
        <w:id w:val="1699801143"/>
        <w:docPartObj>
          <w:docPartGallery w:val="Table of Contents"/>
          <w:docPartUnique/>
        </w:docPartObj>
      </w:sdtPr>
      <w:sdtEndPr>
        <w:rPr>
          <w:b w:val="0"/>
          <w:bCs w:val="0"/>
          <w:color w:val="000000" w:themeColor="text1"/>
          <w:sz w:val="24"/>
          <w:szCs w:val="24"/>
          <w:highlight w:val="yellow"/>
        </w:rPr>
      </w:sdtEndPr>
      <w:sdtContent>
        <w:p w:rsidR="00EE4979" w:rsidRPr="00EE4979" w:rsidRDefault="00C226E6">
          <w:pPr>
            <w:pStyle w:val="TOC1"/>
            <w:rPr>
              <w:rFonts w:eastAsiaTheme="minorEastAsia"/>
              <w:b/>
            </w:rPr>
          </w:pPr>
          <w:r w:rsidRPr="00441D11">
            <w:fldChar w:fldCharType="begin"/>
          </w:r>
          <w:r w:rsidR="00F934C1" w:rsidRPr="00441D11">
            <w:instrText xml:space="preserve"> TOC \o "1-3" \h \z \u </w:instrText>
          </w:r>
          <w:r w:rsidRPr="00441D11">
            <w:fldChar w:fldCharType="separate"/>
          </w:r>
          <w:hyperlink w:anchor="_Toc144819982" w:history="1">
            <w:r w:rsidR="00EE4979" w:rsidRPr="00EE4979">
              <w:rPr>
                <w:rStyle w:val="Hyperlink"/>
                <w:b/>
              </w:rPr>
              <w:t>SEPTEMBER, 2023DECLARATION</w:t>
            </w:r>
            <w:r w:rsidR="00EE4979" w:rsidRPr="00EE4979">
              <w:rPr>
                <w:b/>
                <w:webHidden/>
              </w:rPr>
              <w:tab/>
            </w:r>
            <w:r w:rsidR="00EE4979" w:rsidRPr="00EE4979">
              <w:rPr>
                <w:b/>
                <w:webHidden/>
              </w:rPr>
              <w:fldChar w:fldCharType="begin"/>
            </w:r>
            <w:r w:rsidR="00EE4979" w:rsidRPr="00EE4979">
              <w:rPr>
                <w:b/>
                <w:webHidden/>
              </w:rPr>
              <w:instrText xml:space="preserve"> PAGEREF _Toc144819982 \h </w:instrText>
            </w:r>
            <w:r w:rsidR="00EE4979" w:rsidRPr="00EE4979">
              <w:rPr>
                <w:b/>
                <w:webHidden/>
              </w:rPr>
            </w:r>
            <w:r w:rsidR="00EE4979" w:rsidRPr="00EE4979">
              <w:rPr>
                <w:b/>
                <w:webHidden/>
              </w:rPr>
              <w:fldChar w:fldCharType="separate"/>
            </w:r>
            <w:r w:rsidR="00301A90">
              <w:rPr>
                <w:b/>
                <w:webHidden/>
              </w:rPr>
              <w:t>i</w:t>
            </w:r>
            <w:r w:rsidR="00EE4979" w:rsidRPr="00EE4979">
              <w:rPr>
                <w:b/>
                <w:webHidden/>
              </w:rPr>
              <w:fldChar w:fldCharType="end"/>
            </w:r>
          </w:hyperlink>
        </w:p>
        <w:p w:rsidR="00EE4979" w:rsidRPr="00EE4979" w:rsidRDefault="0036558A">
          <w:pPr>
            <w:pStyle w:val="TOC1"/>
            <w:rPr>
              <w:rFonts w:eastAsiaTheme="minorEastAsia"/>
              <w:b/>
            </w:rPr>
          </w:pPr>
          <w:hyperlink w:anchor="_Toc144819983" w:history="1">
            <w:r w:rsidR="00EE4979" w:rsidRPr="00EE4979">
              <w:rPr>
                <w:rStyle w:val="Hyperlink"/>
                <w:b/>
              </w:rPr>
              <w:t>DEDICATION</w:t>
            </w:r>
            <w:r w:rsidR="00EE4979" w:rsidRPr="00EE4979">
              <w:rPr>
                <w:b/>
                <w:webHidden/>
              </w:rPr>
              <w:tab/>
            </w:r>
            <w:r w:rsidR="00EE4979" w:rsidRPr="00EE4979">
              <w:rPr>
                <w:b/>
                <w:webHidden/>
              </w:rPr>
              <w:fldChar w:fldCharType="begin"/>
            </w:r>
            <w:r w:rsidR="00EE4979" w:rsidRPr="00EE4979">
              <w:rPr>
                <w:b/>
                <w:webHidden/>
              </w:rPr>
              <w:instrText xml:space="preserve"> PAGEREF _Toc144819983 \h </w:instrText>
            </w:r>
            <w:r w:rsidR="00EE4979" w:rsidRPr="00EE4979">
              <w:rPr>
                <w:b/>
                <w:webHidden/>
              </w:rPr>
            </w:r>
            <w:r w:rsidR="00EE4979" w:rsidRPr="00EE4979">
              <w:rPr>
                <w:b/>
                <w:webHidden/>
              </w:rPr>
              <w:fldChar w:fldCharType="separate"/>
            </w:r>
            <w:r w:rsidR="00301A90">
              <w:rPr>
                <w:b/>
                <w:webHidden/>
              </w:rPr>
              <w:t>iii</w:t>
            </w:r>
            <w:r w:rsidR="00EE4979" w:rsidRPr="00EE4979">
              <w:rPr>
                <w:b/>
                <w:webHidden/>
              </w:rPr>
              <w:fldChar w:fldCharType="end"/>
            </w:r>
          </w:hyperlink>
        </w:p>
        <w:p w:rsidR="00EE4979" w:rsidRPr="00EE4979" w:rsidRDefault="0036558A">
          <w:pPr>
            <w:pStyle w:val="TOC1"/>
            <w:rPr>
              <w:rFonts w:eastAsiaTheme="minorEastAsia"/>
              <w:b/>
            </w:rPr>
          </w:pPr>
          <w:hyperlink w:anchor="_Toc144819984" w:history="1">
            <w:r w:rsidR="00EE4979" w:rsidRPr="00EE4979">
              <w:rPr>
                <w:rStyle w:val="Hyperlink"/>
                <w:b/>
              </w:rPr>
              <w:t>ACKNOWLEDGEMENTS</w:t>
            </w:r>
            <w:r w:rsidR="00EE4979" w:rsidRPr="00EE4979">
              <w:rPr>
                <w:b/>
                <w:webHidden/>
              </w:rPr>
              <w:tab/>
            </w:r>
            <w:r w:rsidR="00EE4979" w:rsidRPr="00EE4979">
              <w:rPr>
                <w:b/>
                <w:webHidden/>
              </w:rPr>
              <w:fldChar w:fldCharType="begin"/>
            </w:r>
            <w:r w:rsidR="00EE4979" w:rsidRPr="00EE4979">
              <w:rPr>
                <w:b/>
                <w:webHidden/>
              </w:rPr>
              <w:instrText xml:space="preserve"> PAGEREF _Toc144819984 \h </w:instrText>
            </w:r>
            <w:r w:rsidR="00EE4979" w:rsidRPr="00EE4979">
              <w:rPr>
                <w:b/>
                <w:webHidden/>
              </w:rPr>
            </w:r>
            <w:r w:rsidR="00EE4979" w:rsidRPr="00EE4979">
              <w:rPr>
                <w:b/>
                <w:webHidden/>
              </w:rPr>
              <w:fldChar w:fldCharType="separate"/>
            </w:r>
            <w:r w:rsidR="00301A90">
              <w:rPr>
                <w:b/>
                <w:webHidden/>
              </w:rPr>
              <w:t>iv</w:t>
            </w:r>
            <w:r w:rsidR="00EE4979" w:rsidRPr="00EE4979">
              <w:rPr>
                <w:b/>
                <w:webHidden/>
              </w:rPr>
              <w:fldChar w:fldCharType="end"/>
            </w:r>
          </w:hyperlink>
        </w:p>
        <w:p w:rsidR="00EE4979" w:rsidRPr="00EE4979" w:rsidRDefault="0036558A">
          <w:pPr>
            <w:pStyle w:val="TOC1"/>
            <w:rPr>
              <w:rFonts w:eastAsiaTheme="minorEastAsia"/>
              <w:b/>
            </w:rPr>
          </w:pPr>
          <w:hyperlink w:anchor="_Toc144819985" w:history="1">
            <w:r w:rsidR="00EE4979" w:rsidRPr="00EE4979">
              <w:rPr>
                <w:rStyle w:val="Hyperlink"/>
                <w:b/>
              </w:rPr>
              <w:t>TABLE OF CONTENTS</w:t>
            </w:r>
            <w:r w:rsidR="00EE4979" w:rsidRPr="00EE4979">
              <w:rPr>
                <w:b/>
                <w:webHidden/>
              </w:rPr>
              <w:tab/>
            </w:r>
            <w:r w:rsidR="00EE4979" w:rsidRPr="00EE4979">
              <w:rPr>
                <w:b/>
                <w:webHidden/>
              </w:rPr>
              <w:fldChar w:fldCharType="begin"/>
            </w:r>
            <w:r w:rsidR="00EE4979" w:rsidRPr="00EE4979">
              <w:rPr>
                <w:b/>
                <w:webHidden/>
              </w:rPr>
              <w:instrText xml:space="preserve"> PAGEREF _Toc144819985 \h </w:instrText>
            </w:r>
            <w:r w:rsidR="00EE4979" w:rsidRPr="00EE4979">
              <w:rPr>
                <w:b/>
                <w:webHidden/>
              </w:rPr>
            </w:r>
            <w:r w:rsidR="00EE4979" w:rsidRPr="00EE4979">
              <w:rPr>
                <w:b/>
                <w:webHidden/>
              </w:rPr>
              <w:fldChar w:fldCharType="separate"/>
            </w:r>
            <w:r w:rsidR="00301A90">
              <w:rPr>
                <w:b/>
                <w:webHidden/>
              </w:rPr>
              <w:t>v</w:t>
            </w:r>
            <w:r w:rsidR="00EE4979" w:rsidRPr="00EE4979">
              <w:rPr>
                <w:b/>
                <w:webHidden/>
              </w:rPr>
              <w:fldChar w:fldCharType="end"/>
            </w:r>
          </w:hyperlink>
        </w:p>
        <w:p w:rsidR="00EE4979" w:rsidRPr="00EE4979" w:rsidRDefault="0036558A">
          <w:pPr>
            <w:pStyle w:val="TOC1"/>
            <w:rPr>
              <w:rFonts w:eastAsiaTheme="minorEastAsia"/>
              <w:b/>
            </w:rPr>
          </w:pPr>
          <w:hyperlink w:anchor="_Toc144819986" w:history="1">
            <w:r w:rsidR="00EE4979" w:rsidRPr="00EE4979">
              <w:rPr>
                <w:rStyle w:val="Hyperlink"/>
                <w:b/>
              </w:rPr>
              <w:t>LIST OF TABLES</w:t>
            </w:r>
            <w:r w:rsidR="00EE4979" w:rsidRPr="00EE4979">
              <w:rPr>
                <w:b/>
                <w:webHidden/>
              </w:rPr>
              <w:tab/>
            </w:r>
            <w:r w:rsidR="00EE4979" w:rsidRPr="00EE4979">
              <w:rPr>
                <w:b/>
                <w:webHidden/>
              </w:rPr>
              <w:fldChar w:fldCharType="begin"/>
            </w:r>
            <w:r w:rsidR="00EE4979" w:rsidRPr="00EE4979">
              <w:rPr>
                <w:b/>
                <w:webHidden/>
              </w:rPr>
              <w:instrText xml:space="preserve"> PAGEREF _Toc144819986 \h </w:instrText>
            </w:r>
            <w:r w:rsidR="00EE4979" w:rsidRPr="00EE4979">
              <w:rPr>
                <w:b/>
                <w:webHidden/>
              </w:rPr>
            </w:r>
            <w:r w:rsidR="00EE4979" w:rsidRPr="00EE4979">
              <w:rPr>
                <w:b/>
                <w:webHidden/>
              </w:rPr>
              <w:fldChar w:fldCharType="separate"/>
            </w:r>
            <w:r w:rsidR="00301A90">
              <w:rPr>
                <w:b/>
                <w:webHidden/>
              </w:rPr>
              <w:t>xi</w:t>
            </w:r>
            <w:r w:rsidR="00EE4979" w:rsidRPr="00EE4979">
              <w:rPr>
                <w:b/>
                <w:webHidden/>
              </w:rPr>
              <w:fldChar w:fldCharType="end"/>
            </w:r>
          </w:hyperlink>
        </w:p>
        <w:p w:rsidR="00EE4979" w:rsidRPr="00EE4979" w:rsidRDefault="0036558A">
          <w:pPr>
            <w:pStyle w:val="TOC1"/>
            <w:rPr>
              <w:rFonts w:eastAsiaTheme="minorEastAsia"/>
              <w:b/>
            </w:rPr>
          </w:pPr>
          <w:hyperlink w:anchor="_Toc144819987" w:history="1">
            <w:r w:rsidR="00EE4979" w:rsidRPr="00EE4979">
              <w:rPr>
                <w:rStyle w:val="Hyperlink"/>
                <w:b/>
              </w:rPr>
              <w:t>LIST OF FIGURES</w:t>
            </w:r>
            <w:r w:rsidR="00EE4979" w:rsidRPr="00EE4979">
              <w:rPr>
                <w:b/>
                <w:webHidden/>
              </w:rPr>
              <w:tab/>
            </w:r>
            <w:r w:rsidR="00EE4979" w:rsidRPr="00EE4979">
              <w:rPr>
                <w:b/>
                <w:webHidden/>
              </w:rPr>
              <w:fldChar w:fldCharType="begin"/>
            </w:r>
            <w:r w:rsidR="00EE4979" w:rsidRPr="00EE4979">
              <w:rPr>
                <w:b/>
                <w:webHidden/>
              </w:rPr>
              <w:instrText xml:space="preserve"> PAGEREF _Toc144819987 \h </w:instrText>
            </w:r>
            <w:r w:rsidR="00EE4979" w:rsidRPr="00EE4979">
              <w:rPr>
                <w:b/>
                <w:webHidden/>
              </w:rPr>
            </w:r>
            <w:r w:rsidR="00EE4979" w:rsidRPr="00EE4979">
              <w:rPr>
                <w:b/>
                <w:webHidden/>
              </w:rPr>
              <w:fldChar w:fldCharType="separate"/>
            </w:r>
            <w:r w:rsidR="00301A90">
              <w:rPr>
                <w:b/>
                <w:webHidden/>
              </w:rPr>
              <w:t>xiii</w:t>
            </w:r>
            <w:r w:rsidR="00EE4979" w:rsidRPr="00EE4979">
              <w:rPr>
                <w:b/>
                <w:webHidden/>
              </w:rPr>
              <w:fldChar w:fldCharType="end"/>
            </w:r>
          </w:hyperlink>
        </w:p>
        <w:p w:rsidR="00EE4979" w:rsidRPr="00EE4979" w:rsidRDefault="0036558A">
          <w:pPr>
            <w:pStyle w:val="TOC1"/>
            <w:rPr>
              <w:rFonts w:eastAsiaTheme="minorEastAsia"/>
              <w:b/>
            </w:rPr>
          </w:pPr>
          <w:hyperlink w:anchor="_Toc144819988" w:history="1">
            <w:r w:rsidR="00EE4979" w:rsidRPr="00EE4979">
              <w:rPr>
                <w:rStyle w:val="Hyperlink"/>
                <w:b/>
              </w:rPr>
              <w:t>LIST OF ABBREVITIONS AND ACRONYMS</w:t>
            </w:r>
            <w:r w:rsidR="00EE4979" w:rsidRPr="00EE4979">
              <w:rPr>
                <w:b/>
                <w:webHidden/>
              </w:rPr>
              <w:tab/>
            </w:r>
            <w:r w:rsidR="00EE4979" w:rsidRPr="00EE4979">
              <w:rPr>
                <w:b/>
                <w:webHidden/>
              </w:rPr>
              <w:fldChar w:fldCharType="begin"/>
            </w:r>
            <w:r w:rsidR="00EE4979" w:rsidRPr="00EE4979">
              <w:rPr>
                <w:b/>
                <w:webHidden/>
              </w:rPr>
              <w:instrText xml:space="preserve"> PAGEREF _Toc144819988 \h </w:instrText>
            </w:r>
            <w:r w:rsidR="00EE4979" w:rsidRPr="00EE4979">
              <w:rPr>
                <w:b/>
                <w:webHidden/>
              </w:rPr>
            </w:r>
            <w:r w:rsidR="00EE4979" w:rsidRPr="00EE4979">
              <w:rPr>
                <w:b/>
                <w:webHidden/>
              </w:rPr>
              <w:fldChar w:fldCharType="separate"/>
            </w:r>
            <w:r w:rsidR="00301A90">
              <w:rPr>
                <w:b/>
                <w:webHidden/>
              </w:rPr>
              <w:t>xv</w:t>
            </w:r>
            <w:r w:rsidR="00EE4979" w:rsidRPr="00EE4979">
              <w:rPr>
                <w:b/>
                <w:webHidden/>
              </w:rPr>
              <w:fldChar w:fldCharType="end"/>
            </w:r>
          </w:hyperlink>
        </w:p>
        <w:p w:rsidR="00EE4979" w:rsidRPr="00EE4979" w:rsidRDefault="0036558A">
          <w:pPr>
            <w:pStyle w:val="TOC1"/>
            <w:rPr>
              <w:rFonts w:eastAsiaTheme="minorEastAsia"/>
              <w:b/>
            </w:rPr>
          </w:pPr>
          <w:hyperlink w:anchor="_Toc144819989" w:history="1">
            <w:r w:rsidR="00EE4979" w:rsidRPr="00EE4979">
              <w:rPr>
                <w:rStyle w:val="Hyperlink"/>
                <w:b/>
              </w:rPr>
              <w:t>ABSTRACT</w:t>
            </w:r>
            <w:r w:rsidR="00EE4979" w:rsidRPr="00EE4979">
              <w:rPr>
                <w:b/>
                <w:webHidden/>
              </w:rPr>
              <w:tab/>
            </w:r>
            <w:r w:rsidR="00EE4979" w:rsidRPr="00EE4979">
              <w:rPr>
                <w:b/>
                <w:webHidden/>
              </w:rPr>
              <w:fldChar w:fldCharType="begin"/>
            </w:r>
            <w:r w:rsidR="00EE4979" w:rsidRPr="00EE4979">
              <w:rPr>
                <w:b/>
                <w:webHidden/>
              </w:rPr>
              <w:instrText xml:space="preserve"> PAGEREF _Toc144819989 \h </w:instrText>
            </w:r>
            <w:r w:rsidR="00EE4979" w:rsidRPr="00EE4979">
              <w:rPr>
                <w:b/>
                <w:webHidden/>
              </w:rPr>
            </w:r>
            <w:r w:rsidR="00EE4979" w:rsidRPr="00EE4979">
              <w:rPr>
                <w:b/>
                <w:webHidden/>
              </w:rPr>
              <w:fldChar w:fldCharType="separate"/>
            </w:r>
            <w:r w:rsidR="00301A90">
              <w:rPr>
                <w:b/>
                <w:webHidden/>
              </w:rPr>
              <w:t>xvi</w:t>
            </w:r>
            <w:r w:rsidR="00EE4979" w:rsidRPr="00EE4979">
              <w:rPr>
                <w:b/>
                <w:webHidden/>
              </w:rPr>
              <w:fldChar w:fldCharType="end"/>
            </w:r>
          </w:hyperlink>
        </w:p>
        <w:p w:rsidR="00EE4979" w:rsidRPr="00EE4979" w:rsidRDefault="0036558A">
          <w:pPr>
            <w:pStyle w:val="TOC1"/>
            <w:rPr>
              <w:rFonts w:eastAsiaTheme="minorEastAsia"/>
              <w:b/>
            </w:rPr>
          </w:pPr>
          <w:hyperlink w:anchor="_Toc144819990" w:history="1">
            <w:r w:rsidR="00EE4979" w:rsidRPr="00EE4979">
              <w:rPr>
                <w:rStyle w:val="Hyperlink"/>
                <w:b/>
              </w:rPr>
              <w:t>CHAPTER ONE</w:t>
            </w:r>
            <w:r w:rsidR="00EE4979" w:rsidRPr="00EE4979">
              <w:rPr>
                <w:b/>
                <w:webHidden/>
              </w:rPr>
              <w:tab/>
            </w:r>
            <w:r w:rsidR="00EE4979" w:rsidRPr="00EE4979">
              <w:rPr>
                <w:b/>
                <w:webHidden/>
              </w:rPr>
              <w:fldChar w:fldCharType="begin"/>
            </w:r>
            <w:r w:rsidR="00EE4979" w:rsidRPr="00EE4979">
              <w:rPr>
                <w:b/>
                <w:webHidden/>
              </w:rPr>
              <w:instrText xml:space="preserve"> PAGEREF _Toc144819990 \h </w:instrText>
            </w:r>
            <w:r w:rsidR="00EE4979" w:rsidRPr="00EE4979">
              <w:rPr>
                <w:b/>
                <w:webHidden/>
              </w:rPr>
            </w:r>
            <w:r w:rsidR="00EE4979" w:rsidRPr="00EE4979">
              <w:rPr>
                <w:b/>
                <w:webHidden/>
              </w:rPr>
              <w:fldChar w:fldCharType="separate"/>
            </w:r>
            <w:r w:rsidR="00301A90">
              <w:rPr>
                <w:b/>
                <w:webHidden/>
              </w:rPr>
              <w:t>1</w:t>
            </w:r>
            <w:r w:rsidR="00EE4979" w:rsidRPr="00EE4979">
              <w:rPr>
                <w:b/>
                <w:webHidden/>
              </w:rPr>
              <w:fldChar w:fldCharType="end"/>
            </w:r>
          </w:hyperlink>
        </w:p>
        <w:p w:rsidR="00EE4979" w:rsidRPr="00EE4979" w:rsidRDefault="0036558A">
          <w:pPr>
            <w:pStyle w:val="TOC1"/>
            <w:rPr>
              <w:rFonts w:eastAsiaTheme="minorEastAsia"/>
              <w:b/>
            </w:rPr>
          </w:pPr>
          <w:hyperlink w:anchor="_Toc144819991" w:history="1">
            <w:r w:rsidR="00EE4979" w:rsidRPr="00EE4979">
              <w:rPr>
                <w:rStyle w:val="Hyperlink"/>
                <w:b/>
              </w:rPr>
              <w:t>INTRODUCTION</w:t>
            </w:r>
            <w:r w:rsidR="00EE4979" w:rsidRPr="00EE4979">
              <w:rPr>
                <w:b/>
                <w:webHidden/>
              </w:rPr>
              <w:tab/>
            </w:r>
            <w:r w:rsidR="00EE4979" w:rsidRPr="00EE4979">
              <w:rPr>
                <w:b/>
                <w:webHidden/>
              </w:rPr>
              <w:fldChar w:fldCharType="begin"/>
            </w:r>
            <w:r w:rsidR="00EE4979" w:rsidRPr="00EE4979">
              <w:rPr>
                <w:b/>
                <w:webHidden/>
              </w:rPr>
              <w:instrText xml:space="preserve"> PAGEREF _Toc144819991 \h </w:instrText>
            </w:r>
            <w:r w:rsidR="00EE4979" w:rsidRPr="00EE4979">
              <w:rPr>
                <w:b/>
                <w:webHidden/>
              </w:rPr>
            </w:r>
            <w:r w:rsidR="00EE4979" w:rsidRPr="00EE4979">
              <w:rPr>
                <w:b/>
                <w:webHidden/>
              </w:rPr>
              <w:fldChar w:fldCharType="separate"/>
            </w:r>
            <w:r w:rsidR="00301A90">
              <w:rPr>
                <w:b/>
                <w:webHidden/>
              </w:rPr>
              <w:t>1</w:t>
            </w:r>
            <w:r w:rsidR="00EE4979" w:rsidRPr="00EE4979">
              <w:rPr>
                <w:b/>
                <w:webHidden/>
              </w:rPr>
              <w:fldChar w:fldCharType="end"/>
            </w:r>
          </w:hyperlink>
        </w:p>
        <w:p w:rsidR="00EE4979" w:rsidRPr="00EE4979" w:rsidRDefault="0036558A" w:rsidP="00EE4979">
          <w:pPr>
            <w:pStyle w:val="TOC2"/>
            <w:rPr>
              <w:rFonts w:eastAsiaTheme="minorEastAsia"/>
            </w:rPr>
          </w:pPr>
          <w:hyperlink w:anchor="_Toc144819992" w:history="1">
            <w:r w:rsidR="00EE4979" w:rsidRPr="00EE4979">
              <w:rPr>
                <w:rStyle w:val="Hyperlink"/>
                <w:b w:val="0"/>
              </w:rPr>
              <w:t>1.1 Background Information</w:t>
            </w:r>
            <w:r w:rsidR="00EE4979" w:rsidRPr="00EE4979">
              <w:rPr>
                <w:webHidden/>
              </w:rPr>
              <w:tab/>
            </w:r>
            <w:r w:rsidR="00EE4979" w:rsidRPr="00EE4979">
              <w:rPr>
                <w:webHidden/>
              </w:rPr>
              <w:fldChar w:fldCharType="begin"/>
            </w:r>
            <w:r w:rsidR="00EE4979" w:rsidRPr="00EE4979">
              <w:rPr>
                <w:webHidden/>
              </w:rPr>
              <w:instrText xml:space="preserve"> PAGEREF _Toc144819992 \h </w:instrText>
            </w:r>
            <w:r w:rsidR="00EE4979" w:rsidRPr="00EE4979">
              <w:rPr>
                <w:webHidden/>
              </w:rPr>
            </w:r>
            <w:r w:rsidR="00EE4979" w:rsidRPr="00EE4979">
              <w:rPr>
                <w:webHidden/>
              </w:rPr>
              <w:fldChar w:fldCharType="separate"/>
            </w:r>
            <w:r w:rsidR="00301A90">
              <w:rPr>
                <w:webHidden/>
              </w:rPr>
              <w:t>1</w:t>
            </w:r>
            <w:r w:rsidR="00EE4979" w:rsidRPr="00EE4979">
              <w:rPr>
                <w:webHidden/>
              </w:rPr>
              <w:fldChar w:fldCharType="end"/>
            </w:r>
          </w:hyperlink>
        </w:p>
        <w:p w:rsidR="00EE4979" w:rsidRPr="00EE4979" w:rsidRDefault="0036558A" w:rsidP="00EE4979">
          <w:pPr>
            <w:pStyle w:val="TOC2"/>
            <w:rPr>
              <w:rFonts w:eastAsiaTheme="minorEastAsia"/>
            </w:rPr>
          </w:pPr>
          <w:hyperlink w:anchor="_Toc144819993" w:history="1">
            <w:r w:rsidR="00EE4979" w:rsidRPr="00EE4979">
              <w:rPr>
                <w:rStyle w:val="Hyperlink"/>
                <w:b w:val="0"/>
              </w:rPr>
              <w:t>1.2 Statement of the Problem and Justification</w:t>
            </w:r>
            <w:r w:rsidR="00EE4979" w:rsidRPr="00EE4979">
              <w:rPr>
                <w:webHidden/>
              </w:rPr>
              <w:tab/>
            </w:r>
            <w:r w:rsidR="00EE4979" w:rsidRPr="00EE4979">
              <w:rPr>
                <w:webHidden/>
              </w:rPr>
              <w:fldChar w:fldCharType="begin"/>
            </w:r>
            <w:r w:rsidR="00EE4979" w:rsidRPr="00EE4979">
              <w:rPr>
                <w:webHidden/>
              </w:rPr>
              <w:instrText xml:space="preserve"> PAGEREF _Toc144819993 \h </w:instrText>
            </w:r>
            <w:r w:rsidR="00EE4979" w:rsidRPr="00EE4979">
              <w:rPr>
                <w:webHidden/>
              </w:rPr>
            </w:r>
            <w:r w:rsidR="00EE4979" w:rsidRPr="00EE4979">
              <w:rPr>
                <w:webHidden/>
              </w:rPr>
              <w:fldChar w:fldCharType="separate"/>
            </w:r>
            <w:r w:rsidR="00301A90">
              <w:rPr>
                <w:webHidden/>
              </w:rPr>
              <w:t>5</w:t>
            </w:r>
            <w:r w:rsidR="00EE4979" w:rsidRPr="00EE4979">
              <w:rPr>
                <w:webHidden/>
              </w:rPr>
              <w:fldChar w:fldCharType="end"/>
            </w:r>
          </w:hyperlink>
        </w:p>
        <w:p w:rsidR="00EE4979" w:rsidRPr="00EE4979" w:rsidRDefault="0036558A" w:rsidP="00EE4979">
          <w:pPr>
            <w:pStyle w:val="TOC2"/>
            <w:rPr>
              <w:rFonts w:eastAsiaTheme="minorEastAsia"/>
            </w:rPr>
          </w:pPr>
          <w:hyperlink w:anchor="_Toc144819994" w:history="1">
            <w:r w:rsidR="00EE4979" w:rsidRPr="00EE4979">
              <w:rPr>
                <w:rStyle w:val="Hyperlink"/>
                <w:b w:val="0"/>
              </w:rPr>
              <w:t>1.3 Null Hypotheses</w:t>
            </w:r>
            <w:r w:rsidR="00EE4979" w:rsidRPr="00EE4979">
              <w:rPr>
                <w:webHidden/>
              </w:rPr>
              <w:tab/>
            </w:r>
            <w:r w:rsidR="00EE4979" w:rsidRPr="00EE4979">
              <w:rPr>
                <w:webHidden/>
              </w:rPr>
              <w:fldChar w:fldCharType="begin"/>
            </w:r>
            <w:r w:rsidR="00EE4979" w:rsidRPr="00EE4979">
              <w:rPr>
                <w:webHidden/>
              </w:rPr>
              <w:instrText xml:space="preserve"> PAGEREF _Toc144819994 \h </w:instrText>
            </w:r>
            <w:r w:rsidR="00EE4979" w:rsidRPr="00EE4979">
              <w:rPr>
                <w:webHidden/>
              </w:rPr>
            </w:r>
            <w:r w:rsidR="00EE4979" w:rsidRPr="00EE4979">
              <w:rPr>
                <w:webHidden/>
              </w:rPr>
              <w:fldChar w:fldCharType="separate"/>
            </w:r>
            <w:r w:rsidR="00301A90">
              <w:rPr>
                <w:webHidden/>
              </w:rPr>
              <w:t>7</w:t>
            </w:r>
            <w:r w:rsidR="00EE4979" w:rsidRPr="00EE4979">
              <w:rPr>
                <w:webHidden/>
              </w:rPr>
              <w:fldChar w:fldCharType="end"/>
            </w:r>
          </w:hyperlink>
        </w:p>
        <w:p w:rsidR="00EE4979" w:rsidRPr="00EE4979" w:rsidRDefault="0036558A" w:rsidP="00EE4979">
          <w:pPr>
            <w:pStyle w:val="TOC2"/>
            <w:rPr>
              <w:rFonts w:eastAsiaTheme="minorEastAsia"/>
            </w:rPr>
          </w:pPr>
          <w:hyperlink w:anchor="_Toc144819995" w:history="1">
            <w:r w:rsidR="00EE4979" w:rsidRPr="00EE4979">
              <w:rPr>
                <w:rStyle w:val="Hyperlink"/>
                <w:b w:val="0"/>
              </w:rPr>
              <w:t>1.4 Objectives</w:t>
            </w:r>
            <w:r w:rsidR="00EE4979" w:rsidRPr="00EE4979">
              <w:rPr>
                <w:webHidden/>
              </w:rPr>
              <w:tab/>
            </w:r>
            <w:r w:rsidR="00EE4979" w:rsidRPr="00EE4979">
              <w:rPr>
                <w:webHidden/>
              </w:rPr>
              <w:fldChar w:fldCharType="begin"/>
            </w:r>
            <w:r w:rsidR="00EE4979" w:rsidRPr="00EE4979">
              <w:rPr>
                <w:webHidden/>
              </w:rPr>
              <w:instrText xml:space="preserve"> PAGEREF _Toc144819995 \h </w:instrText>
            </w:r>
            <w:r w:rsidR="00EE4979" w:rsidRPr="00EE4979">
              <w:rPr>
                <w:webHidden/>
              </w:rPr>
            </w:r>
            <w:r w:rsidR="00EE4979" w:rsidRPr="00EE4979">
              <w:rPr>
                <w:webHidden/>
              </w:rPr>
              <w:fldChar w:fldCharType="separate"/>
            </w:r>
            <w:r w:rsidR="00301A90">
              <w:rPr>
                <w:webHidden/>
              </w:rPr>
              <w:t>7</w:t>
            </w:r>
            <w:r w:rsidR="00EE4979" w:rsidRPr="00EE4979">
              <w:rPr>
                <w:webHidden/>
              </w:rPr>
              <w:fldChar w:fldCharType="end"/>
            </w:r>
          </w:hyperlink>
        </w:p>
        <w:p w:rsidR="00EE4979" w:rsidRPr="00EE4979" w:rsidRDefault="0036558A" w:rsidP="00EE4979">
          <w:pPr>
            <w:pStyle w:val="TOC3"/>
            <w:rPr>
              <w:rFonts w:eastAsiaTheme="minorEastAsia"/>
            </w:rPr>
          </w:pPr>
          <w:hyperlink w:anchor="_Toc144819996" w:history="1">
            <w:r w:rsidR="00EE4979" w:rsidRPr="00EE4979">
              <w:rPr>
                <w:rStyle w:val="Hyperlink"/>
              </w:rPr>
              <w:t>1.4.1 General Objective</w:t>
            </w:r>
            <w:r w:rsidR="00EE4979" w:rsidRPr="00EE4979">
              <w:rPr>
                <w:webHidden/>
              </w:rPr>
              <w:tab/>
            </w:r>
            <w:r w:rsidR="00EE4979" w:rsidRPr="00EE4979">
              <w:rPr>
                <w:webHidden/>
              </w:rPr>
              <w:fldChar w:fldCharType="begin"/>
            </w:r>
            <w:r w:rsidR="00EE4979" w:rsidRPr="00EE4979">
              <w:rPr>
                <w:webHidden/>
              </w:rPr>
              <w:instrText xml:space="preserve"> PAGEREF _Toc144819996 \h </w:instrText>
            </w:r>
            <w:r w:rsidR="00EE4979" w:rsidRPr="00EE4979">
              <w:rPr>
                <w:webHidden/>
              </w:rPr>
            </w:r>
            <w:r w:rsidR="00EE4979" w:rsidRPr="00EE4979">
              <w:rPr>
                <w:webHidden/>
              </w:rPr>
              <w:fldChar w:fldCharType="separate"/>
            </w:r>
            <w:r w:rsidR="00301A90">
              <w:rPr>
                <w:webHidden/>
              </w:rPr>
              <w:t>7</w:t>
            </w:r>
            <w:r w:rsidR="00EE4979" w:rsidRPr="00EE4979">
              <w:rPr>
                <w:webHidden/>
              </w:rPr>
              <w:fldChar w:fldCharType="end"/>
            </w:r>
          </w:hyperlink>
        </w:p>
        <w:p w:rsidR="00EE4979" w:rsidRPr="00EE4979" w:rsidRDefault="0036558A" w:rsidP="00EE4979">
          <w:pPr>
            <w:pStyle w:val="TOC3"/>
            <w:rPr>
              <w:rFonts w:eastAsiaTheme="minorEastAsia"/>
            </w:rPr>
          </w:pPr>
          <w:hyperlink w:anchor="_Toc144819997" w:history="1">
            <w:r w:rsidR="00EE4979" w:rsidRPr="00EE4979">
              <w:rPr>
                <w:rStyle w:val="Hyperlink"/>
              </w:rPr>
              <w:t>1.4.2 Specific Objectives</w:t>
            </w:r>
            <w:r w:rsidR="00EE4979" w:rsidRPr="00EE4979">
              <w:rPr>
                <w:webHidden/>
              </w:rPr>
              <w:tab/>
            </w:r>
            <w:r w:rsidR="00EE4979" w:rsidRPr="00EE4979">
              <w:rPr>
                <w:webHidden/>
              </w:rPr>
              <w:fldChar w:fldCharType="begin"/>
            </w:r>
            <w:r w:rsidR="00EE4979" w:rsidRPr="00EE4979">
              <w:rPr>
                <w:webHidden/>
              </w:rPr>
              <w:instrText xml:space="preserve"> PAGEREF _Toc144819997 \h </w:instrText>
            </w:r>
            <w:r w:rsidR="00EE4979" w:rsidRPr="00EE4979">
              <w:rPr>
                <w:webHidden/>
              </w:rPr>
            </w:r>
            <w:r w:rsidR="00EE4979" w:rsidRPr="00EE4979">
              <w:rPr>
                <w:webHidden/>
              </w:rPr>
              <w:fldChar w:fldCharType="separate"/>
            </w:r>
            <w:r w:rsidR="00301A90">
              <w:rPr>
                <w:webHidden/>
              </w:rPr>
              <w:t>7</w:t>
            </w:r>
            <w:r w:rsidR="00EE4979" w:rsidRPr="00EE4979">
              <w:rPr>
                <w:webHidden/>
              </w:rPr>
              <w:fldChar w:fldCharType="end"/>
            </w:r>
          </w:hyperlink>
        </w:p>
        <w:p w:rsidR="00EE4979" w:rsidRPr="00EE4979" w:rsidRDefault="0036558A" w:rsidP="00EE4979">
          <w:pPr>
            <w:pStyle w:val="TOC2"/>
            <w:rPr>
              <w:rFonts w:eastAsiaTheme="minorEastAsia"/>
            </w:rPr>
          </w:pPr>
          <w:hyperlink w:anchor="_Toc144819998" w:history="1">
            <w:r w:rsidR="00EE4979" w:rsidRPr="00EE4979">
              <w:rPr>
                <w:rStyle w:val="Hyperlink"/>
                <w:b w:val="0"/>
              </w:rPr>
              <w:t>1.5 Significance of the Study</w:t>
            </w:r>
            <w:r w:rsidR="00EE4979" w:rsidRPr="00EE4979">
              <w:rPr>
                <w:webHidden/>
              </w:rPr>
              <w:tab/>
            </w:r>
            <w:r w:rsidR="00EE4979" w:rsidRPr="00EE4979">
              <w:rPr>
                <w:webHidden/>
              </w:rPr>
              <w:fldChar w:fldCharType="begin"/>
            </w:r>
            <w:r w:rsidR="00EE4979" w:rsidRPr="00EE4979">
              <w:rPr>
                <w:webHidden/>
              </w:rPr>
              <w:instrText xml:space="preserve"> PAGEREF _Toc144819998 \h </w:instrText>
            </w:r>
            <w:r w:rsidR="00EE4979" w:rsidRPr="00EE4979">
              <w:rPr>
                <w:webHidden/>
              </w:rPr>
            </w:r>
            <w:r w:rsidR="00EE4979" w:rsidRPr="00EE4979">
              <w:rPr>
                <w:webHidden/>
              </w:rPr>
              <w:fldChar w:fldCharType="separate"/>
            </w:r>
            <w:r w:rsidR="00301A90">
              <w:rPr>
                <w:webHidden/>
              </w:rPr>
              <w:t>8</w:t>
            </w:r>
            <w:r w:rsidR="00EE4979" w:rsidRPr="00EE4979">
              <w:rPr>
                <w:webHidden/>
              </w:rPr>
              <w:fldChar w:fldCharType="end"/>
            </w:r>
          </w:hyperlink>
        </w:p>
        <w:p w:rsidR="00EE4979" w:rsidRDefault="0036558A" w:rsidP="00EE4979">
          <w:pPr>
            <w:pStyle w:val="TOC2"/>
            <w:rPr>
              <w:rStyle w:val="Hyperlink"/>
              <w:b w:val="0"/>
            </w:rPr>
          </w:pPr>
          <w:hyperlink w:anchor="_Toc144819999" w:history="1">
            <w:r w:rsidR="00EE4979" w:rsidRPr="00EE4979">
              <w:rPr>
                <w:rStyle w:val="Hyperlink"/>
                <w:b w:val="0"/>
              </w:rPr>
              <w:t>1.6 Scope and Limitation</w:t>
            </w:r>
            <w:r w:rsidR="00EE4979" w:rsidRPr="00EE4979">
              <w:rPr>
                <w:webHidden/>
              </w:rPr>
              <w:tab/>
            </w:r>
            <w:r w:rsidR="00EE4979" w:rsidRPr="00EE4979">
              <w:rPr>
                <w:webHidden/>
              </w:rPr>
              <w:fldChar w:fldCharType="begin"/>
            </w:r>
            <w:r w:rsidR="00EE4979" w:rsidRPr="00EE4979">
              <w:rPr>
                <w:webHidden/>
              </w:rPr>
              <w:instrText xml:space="preserve"> PAGEREF _Toc144819999 \h </w:instrText>
            </w:r>
            <w:r w:rsidR="00EE4979" w:rsidRPr="00EE4979">
              <w:rPr>
                <w:webHidden/>
              </w:rPr>
            </w:r>
            <w:r w:rsidR="00EE4979" w:rsidRPr="00EE4979">
              <w:rPr>
                <w:webHidden/>
              </w:rPr>
              <w:fldChar w:fldCharType="separate"/>
            </w:r>
            <w:r w:rsidR="00301A90">
              <w:rPr>
                <w:webHidden/>
              </w:rPr>
              <w:t>9</w:t>
            </w:r>
            <w:r w:rsidR="00EE4979" w:rsidRPr="00EE4979">
              <w:rPr>
                <w:webHidden/>
              </w:rPr>
              <w:fldChar w:fldCharType="end"/>
            </w:r>
          </w:hyperlink>
        </w:p>
        <w:p w:rsidR="00EE4979" w:rsidRDefault="00EE4979" w:rsidP="00EE4979">
          <w:pPr>
            <w:rPr>
              <w:rFonts w:eastAsiaTheme="minorEastAsia"/>
            </w:rPr>
          </w:pPr>
        </w:p>
        <w:p w:rsidR="00EE4979" w:rsidRPr="00EE4979" w:rsidRDefault="00EE4979" w:rsidP="00EE4979">
          <w:pPr>
            <w:rPr>
              <w:rFonts w:eastAsiaTheme="minorEastAsia"/>
            </w:rPr>
          </w:pPr>
        </w:p>
        <w:p w:rsidR="00EE4979" w:rsidRPr="00EE4979" w:rsidRDefault="0036558A">
          <w:pPr>
            <w:pStyle w:val="TOC1"/>
            <w:rPr>
              <w:rFonts w:eastAsiaTheme="minorEastAsia"/>
              <w:b/>
            </w:rPr>
          </w:pPr>
          <w:hyperlink w:anchor="_Toc144820000" w:history="1">
            <w:r w:rsidR="00EE4979" w:rsidRPr="00EE4979">
              <w:rPr>
                <w:rStyle w:val="Hyperlink"/>
                <w:b/>
              </w:rPr>
              <w:t>CHAPTER TWO</w:t>
            </w:r>
            <w:r w:rsidR="00EE4979" w:rsidRPr="00EE4979">
              <w:rPr>
                <w:b/>
                <w:webHidden/>
              </w:rPr>
              <w:tab/>
            </w:r>
            <w:r w:rsidR="00EE4979" w:rsidRPr="00EE4979">
              <w:rPr>
                <w:b/>
                <w:webHidden/>
              </w:rPr>
              <w:fldChar w:fldCharType="begin"/>
            </w:r>
            <w:r w:rsidR="00EE4979" w:rsidRPr="00EE4979">
              <w:rPr>
                <w:b/>
                <w:webHidden/>
              </w:rPr>
              <w:instrText xml:space="preserve"> PAGEREF _Toc144820000 \h </w:instrText>
            </w:r>
            <w:r w:rsidR="00EE4979" w:rsidRPr="00EE4979">
              <w:rPr>
                <w:b/>
                <w:webHidden/>
              </w:rPr>
            </w:r>
            <w:r w:rsidR="00EE4979" w:rsidRPr="00EE4979">
              <w:rPr>
                <w:b/>
                <w:webHidden/>
              </w:rPr>
              <w:fldChar w:fldCharType="separate"/>
            </w:r>
            <w:r w:rsidR="00301A90">
              <w:rPr>
                <w:b/>
                <w:webHidden/>
              </w:rPr>
              <w:t>10</w:t>
            </w:r>
            <w:r w:rsidR="00EE4979" w:rsidRPr="00EE4979">
              <w:rPr>
                <w:b/>
                <w:webHidden/>
              </w:rPr>
              <w:fldChar w:fldCharType="end"/>
            </w:r>
          </w:hyperlink>
        </w:p>
        <w:p w:rsidR="00EE4979" w:rsidRPr="00EE4979" w:rsidRDefault="0036558A">
          <w:pPr>
            <w:pStyle w:val="TOC1"/>
            <w:rPr>
              <w:rFonts w:eastAsiaTheme="minorEastAsia"/>
              <w:b/>
            </w:rPr>
          </w:pPr>
          <w:hyperlink w:anchor="_Toc144820001" w:history="1">
            <w:r w:rsidR="00EE4979" w:rsidRPr="00EE4979">
              <w:rPr>
                <w:rStyle w:val="Hyperlink"/>
                <w:b/>
              </w:rPr>
              <w:t>LITERATURE REVIEW</w:t>
            </w:r>
            <w:r w:rsidR="00EE4979" w:rsidRPr="00EE4979">
              <w:rPr>
                <w:b/>
                <w:webHidden/>
              </w:rPr>
              <w:tab/>
            </w:r>
            <w:r w:rsidR="00EE4979" w:rsidRPr="00EE4979">
              <w:rPr>
                <w:b/>
                <w:webHidden/>
              </w:rPr>
              <w:fldChar w:fldCharType="begin"/>
            </w:r>
            <w:r w:rsidR="00EE4979" w:rsidRPr="00EE4979">
              <w:rPr>
                <w:b/>
                <w:webHidden/>
              </w:rPr>
              <w:instrText xml:space="preserve"> PAGEREF _Toc144820001 \h </w:instrText>
            </w:r>
            <w:r w:rsidR="00EE4979" w:rsidRPr="00EE4979">
              <w:rPr>
                <w:b/>
                <w:webHidden/>
              </w:rPr>
            </w:r>
            <w:r w:rsidR="00EE4979" w:rsidRPr="00EE4979">
              <w:rPr>
                <w:b/>
                <w:webHidden/>
              </w:rPr>
              <w:fldChar w:fldCharType="separate"/>
            </w:r>
            <w:r w:rsidR="00301A90">
              <w:rPr>
                <w:b/>
                <w:webHidden/>
              </w:rPr>
              <w:t>10</w:t>
            </w:r>
            <w:r w:rsidR="00EE4979" w:rsidRPr="00EE4979">
              <w:rPr>
                <w:b/>
                <w:webHidden/>
              </w:rPr>
              <w:fldChar w:fldCharType="end"/>
            </w:r>
          </w:hyperlink>
        </w:p>
        <w:p w:rsidR="00EE4979" w:rsidRPr="00EE4979" w:rsidRDefault="0036558A" w:rsidP="00EE4979">
          <w:pPr>
            <w:pStyle w:val="TOC2"/>
            <w:rPr>
              <w:rFonts w:eastAsiaTheme="minorEastAsia"/>
            </w:rPr>
          </w:pPr>
          <w:hyperlink w:anchor="_Toc144820002" w:history="1">
            <w:r w:rsidR="00EE4979" w:rsidRPr="00EE4979">
              <w:rPr>
                <w:rStyle w:val="Hyperlink"/>
                <w:b w:val="0"/>
              </w:rPr>
              <w:t>2.1 Commercial Fertilizers in Crop Production</w:t>
            </w:r>
            <w:r w:rsidR="00EE4979" w:rsidRPr="00EE4979">
              <w:rPr>
                <w:webHidden/>
              </w:rPr>
              <w:tab/>
            </w:r>
            <w:r w:rsidR="00EE4979" w:rsidRPr="00EE4979">
              <w:rPr>
                <w:webHidden/>
              </w:rPr>
              <w:fldChar w:fldCharType="begin"/>
            </w:r>
            <w:r w:rsidR="00EE4979" w:rsidRPr="00EE4979">
              <w:rPr>
                <w:webHidden/>
              </w:rPr>
              <w:instrText xml:space="preserve"> PAGEREF _Toc144820002 \h </w:instrText>
            </w:r>
            <w:r w:rsidR="00EE4979" w:rsidRPr="00EE4979">
              <w:rPr>
                <w:webHidden/>
              </w:rPr>
            </w:r>
            <w:r w:rsidR="00EE4979" w:rsidRPr="00EE4979">
              <w:rPr>
                <w:webHidden/>
              </w:rPr>
              <w:fldChar w:fldCharType="separate"/>
            </w:r>
            <w:r w:rsidR="00301A90">
              <w:rPr>
                <w:webHidden/>
              </w:rPr>
              <w:t>10</w:t>
            </w:r>
            <w:r w:rsidR="00EE4979" w:rsidRPr="00EE4979">
              <w:rPr>
                <w:webHidden/>
              </w:rPr>
              <w:fldChar w:fldCharType="end"/>
            </w:r>
          </w:hyperlink>
        </w:p>
        <w:p w:rsidR="00EE4979" w:rsidRPr="00EE4979" w:rsidRDefault="0036558A" w:rsidP="00EE4979">
          <w:pPr>
            <w:pStyle w:val="TOC2"/>
            <w:rPr>
              <w:rFonts w:eastAsiaTheme="minorEastAsia"/>
            </w:rPr>
          </w:pPr>
          <w:hyperlink w:anchor="_Toc144820003" w:history="1">
            <w:r w:rsidR="00EE4979" w:rsidRPr="00EE4979">
              <w:rPr>
                <w:rStyle w:val="Hyperlink"/>
                <w:b w:val="0"/>
              </w:rPr>
              <w:t>2.2 Nano-fertilizers</w:t>
            </w:r>
            <w:r w:rsidR="00EE4979" w:rsidRPr="00EE4979">
              <w:rPr>
                <w:webHidden/>
              </w:rPr>
              <w:tab/>
            </w:r>
            <w:r w:rsidR="00EE4979" w:rsidRPr="00EE4979">
              <w:rPr>
                <w:webHidden/>
              </w:rPr>
              <w:fldChar w:fldCharType="begin"/>
            </w:r>
            <w:r w:rsidR="00EE4979" w:rsidRPr="00EE4979">
              <w:rPr>
                <w:webHidden/>
              </w:rPr>
              <w:instrText xml:space="preserve"> PAGEREF _Toc144820003 \h </w:instrText>
            </w:r>
            <w:r w:rsidR="00EE4979" w:rsidRPr="00EE4979">
              <w:rPr>
                <w:webHidden/>
              </w:rPr>
            </w:r>
            <w:r w:rsidR="00EE4979" w:rsidRPr="00EE4979">
              <w:rPr>
                <w:webHidden/>
              </w:rPr>
              <w:fldChar w:fldCharType="separate"/>
            </w:r>
            <w:r w:rsidR="00301A90">
              <w:rPr>
                <w:webHidden/>
              </w:rPr>
              <w:t>11</w:t>
            </w:r>
            <w:r w:rsidR="00EE4979" w:rsidRPr="00EE4979">
              <w:rPr>
                <w:webHidden/>
              </w:rPr>
              <w:fldChar w:fldCharType="end"/>
            </w:r>
          </w:hyperlink>
        </w:p>
        <w:p w:rsidR="00EE4979" w:rsidRPr="00EE4979" w:rsidRDefault="0036558A" w:rsidP="00EE4979">
          <w:pPr>
            <w:pStyle w:val="TOC2"/>
            <w:rPr>
              <w:rFonts w:eastAsiaTheme="minorEastAsia"/>
            </w:rPr>
          </w:pPr>
          <w:hyperlink w:anchor="_Toc144820004" w:history="1">
            <w:r w:rsidR="00EE4979" w:rsidRPr="00EE4979">
              <w:rPr>
                <w:rStyle w:val="Hyperlink"/>
                <w:b w:val="0"/>
              </w:rPr>
              <w:t>2.3 Effects of Nano fertilizer on Cd and Pb Uptake</w:t>
            </w:r>
            <w:r w:rsidR="00EE4979" w:rsidRPr="00EE4979">
              <w:rPr>
                <w:webHidden/>
              </w:rPr>
              <w:tab/>
            </w:r>
            <w:r w:rsidR="00EE4979" w:rsidRPr="00EE4979">
              <w:rPr>
                <w:webHidden/>
              </w:rPr>
              <w:fldChar w:fldCharType="begin"/>
            </w:r>
            <w:r w:rsidR="00EE4979" w:rsidRPr="00EE4979">
              <w:rPr>
                <w:webHidden/>
              </w:rPr>
              <w:instrText xml:space="preserve"> PAGEREF _Toc144820004 \h </w:instrText>
            </w:r>
            <w:r w:rsidR="00EE4979" w:rsidRPr="00EE4979">
              <w:rPr>
                <w:webHidden/>
              </w:rPr>
            </w:r>
            <w:r w:rsidR="00EE4979" w:rsidRPr="00EE4979">
              <w:rPr>
                <w:webHidden/>
              </w:rPr>
              <w:fldChar w:fldCharType="separate"/>
            </w:r>
            <w:r w:rsidR="00301A90">
              <w:rPr>
                <w:webHidden/>
              </w:rPr>
              <w:t>12</w:t>
            </w:r>
            <w:r w:rsidR="00EE4979" w:rsidRPr="00EE4979">
              <w:rPr>
                <w:webHidden/>
              </w:rPr>
              <w:fldChar w:fldCharType="end"/>
            </w:r>
          </w:hyperlink>
        </w:p>
        <w:p w:rsidR="00EE4979" w:rsidRPr="00EE4979" w:rsidRDefault="0036558A" w:rsidP="00EE4979">
          <w:pPr>
            <w:pStyle w:val="TOC2"/>
            <w:rPr>
              <w:rFonts w:eastAsiaTheme="minorEastAsia"/>
            </w:rPr>
          </w:pPr>
          <w:hyperlink w:anchor="_Toc144820005" w:history="1">
            <w:r w:rsidR="00EE4979" w:rsidRPr="00EE4979">
              <w:rPr>
                <w:rStyle w:val="Hyperlink"/>
                <w:b w:val="0"/>
              </w:rPr>
              <w:t>2.4 Hydroxyapatite Nano fertilizers and their Heavy Metal Immobilization in Plants</w:t>
            </w:r>
            <w:r w:rsidR="00EE4979" w:rsidRPr="00EE4979">
              <w:rPr>
                <w:webHidden/>
              </w:rPr>
              <w:tab/>
            </w:r>
            <w:r w:rsidR="00EE4979" w:rsidRPr="00EE4979">
              <w:rPr>
                <w:webHidden/>
              </w:rPr>
              <w:fldChar w:fldCharType="begin"/>
            </w:r>
            <w:r w:rsidR="00EE4979" w:rsidRPr="00EE4979">
              <w:rPr>
                <w:webHidden/>
              </w:rPr>
              <w:instrText xml:space="preserve"> PAGEREF _Toc144820005 \h </w:instrText>
            </w:r>
            <w:r w:rsidR="00EE4979" w:rsidRPr="00EE4979">
              <w:rPr>
                <w:webHidden/>
              </w:rPr>
            </w:r>
            <w:r w:rsidR="00EE4979" w:rsidRPr="00EE4979">
              <w:rPr>
                <w:webHidden/>
              </w:rPr>
              <w:fldChar w:fldCharType="separate"/>
            </w:r>
            <w:r w:rsidR="00301A90">
              <w:rPr>
                <w:webHidden/>
              </w:rPr>
              <w:t>14</w:t>
            </w:r>
            <w:r w:rsidR="00EE4979" w:rsidRPr="00EE4979">
              <w:rPr>
                <w:webHidden/>
              </w:rPr>
              <w:fldChar w:fldCharType="end"/>
            </w:r>
          </w:hyperlink>
        </w:p>
        <w:p w:rsidR="00EE4979" w:rsidRPr="00EE4979" w:rsidRDefault="0036558A" w:rsidP="00EE4979">
          <w:pPr>
            <w:pStyle w:val="TOC2"/>
            <w:rPr>
              <w:rFonts w:eastAsiaTheme="minorEastAsia"/>
            </w:rPr>
          </w:pPr>
          <w:hyperlink w:anchor="_Toc144820006" w:history="1">
            <w:r w:rsidR="00EE4979" w:rsidRPr="00EE4979">
              <w:rPr>
                <w:rStyle w:val="Hyperlink"/>
                <w:b w:val="0"/>
              </w:rPr>
              <w:t>2.5 Effect of Nano fertilizers on Plant Growth Performance</w:t>
            </w:r>
            <w:r w:rsidR="00EE4979" w:rsidRPr="00EE4979">
              <w:rPr>
                <w:webHidden/>
              </w:rPr>
              <w:tab/>
            </w:r>
            <w:r w:rsidR="00EE4979" w:rsidRPr="00EE4979">
              <w:rPr>
                <w:webHidden/>
              </w:rPr>
              <w:fldChar w:fldCharType="begin"/>
            </w:r>
            <w:r w:rsidR="00EE4979" w:rsidRPr="00EE4979">
              <w:rPr>
                <w:webHidden/>
              </w:rPr>
              <w:instrText xml:space="preserve"> PAGEREF _Toc144820006 \h </w:instrText>
            </w:r>
            <w:r w:rsidR="00EE4979" w:rsidRPr="00EE4979">
              <w:rPr>
                <w:webHidden/>
              </w:rPr>
            </w:r>
            <w:r w:rsidR="00EE4979" w:rsidRPr="00EE4979">
              <w:rPr>
                <w:webHidden/>
              </w:rPr>
              <w:fldChar w:fldCharType="separate"/>
            </w:r>
            <w:r w:rsidR="00301A90">
              <w:rPr>
                <w:webHidden/>
              </w:rPr>
              <w:t>17</w:t>
            </w:r>
            <w:r w:rsidR="00EE4979" w:rsidRPr="00EE4979">
              <w:rPr>
                <w:webHidden/>
              </w:rPr>
              <w:fldChar w:fldCharType="end"/>
            </w:r>
          </w:hyperlink>
        </w:p>
        <w:p w:rsidR="00EE4979" w:rsidRPr="00EE4979" w:rsidRDefault="0036558A" w:rsidP="00EE4979">
          <w:pPr>
            <w:pStyle w:val="TOC2"/>
            <w:rPr>
              <w:rFonts w:eastAsiaTheme="minorEastAsia"/>
            </w:rPr>
          </w:pPr>
          <w:hyperlink w:anchor="_Toc144820007" w:history="1">
            <w:r w:rsidR="00EE4979" w:rsidRPr="00EE4979">
              <w:rPr>
                <w:rStyle w:val="Hyperlink"/>
                <w:b w:val="0"/>
              </w:rPr>
              <w:t>2.6 Nano-fertilizer Thermodynamics</w:t>
            </w:r>
            <w:r w:rsidR="00EE4979" w:rsidRPr="00EE4979">
              <w:rPr>
                <w:webHidden/>
              </w:rPr>
              <w:tab/>
            </w:r>
            <w:r w:rsidR="00EE4979" w:rsidRPr="00EE4979">
              <w:rPr>
                <w:webHidden/>
              </w:rPr>
              <w:fldChar w:fldCharType="begin"/>
            </w:r>
            <w:r w:rsidR="00EE4979" w:rsidRPr="00EE4979">
              <w:rPr>
                <w:webHidden/>
              </w:rPr>
              <w:instrText xml:space="preserve"> PAGEREF _Toc144820007 \h </w:instrText>
            </w:r>
            <w:r w:rsidR="00EE4979" w:rsidRPr="00EE4979">
              <w:rPr>
                <w:webHidden/>
              </w:rPr>
            </w:r>
            <w:r w:rsidR="00EE4979" w:rsidRPr="00EE4979">
              <w:rPr>
                <w:webHidden/>
              </w:rPr>
              <w:fldChar w:fldCharType="separate"/>
            </w:r>
            <w:r w:rsidR="00301A90">
              <w:rPr>
                <w:webHidden/>
              </w:rPr>
              <w:t>19</w:t>
            </w:r>
            <w:r w:rsidR="00EE4979" w:rsidRPr="00EE4979">
              <w:rPr>
                <w:webHidden/>
              </w:rPr>
              <w:fldChar w:fldCharType="end"/>
            </w:r>
          </w:hyperlink>
        </w:p>
        <w:p w:rsidR="00EE4979" w:rsidRPr="00EE4979" w:rsidRDefault="0036558A" w:rsidP="00EE4979">
          <w:pPr>
            <w:pStyle w:val="TOC2"/>
            <w:rPr>
              <w:rFonts w:eastAsiaTheme="minorEastAsia"/>
            </w:rPr>
          </w:pPr>
          <w:hyperlink w:anchor="_Toc144820008" w:history="1">
            <w:r w:rsidR="00EE4979" w:rsidRPr="00EE4979">
              <w:rPr>
                <w:rStyle w:val="Hyperlink"/>
                <w:b w:val="0"/>
              </w:rPr>
              <w:t>2.7 Effects of Experimental Conditions on Adsorption of Cd and Pb</w:t>
            </w:r>
            <w:r w:rsidR="00EE4979" w:rsidRPr="00EE4979">
              <w:rPr>
                <w:webHidden/>
              </w:rPr>
              <w:tab/>
            </w:r>
            <w:r w:rsidR="00EE4979" w:rsidRPr="00EE4979">
              <w:rPr>
                <w:webHidden/>
              </w:rPr>
              <w:fldChar w:fldCharType="begin"/>
            </w:r>
            <w:r w:rsidR="00EE4979" w:rsidRPr="00EE4979">
              <w:rPr>
                <w:webHidden/>
              </w:rPr>
              <w:instrText xml:space="preserve"> PAGEREF _Toc144820008 \h </w:instrText>
            </w:r>
            <w:r w:rsidR="00EE4979" w:rsidRPr="00EE4979">
              <w:rPr>
                <w:webHidden/>
              </w:rPr>
            </w:r>
            <w:r w:rsidR="00EE4979" w:rsidRPr="00EE4979">
              <w:rPr>
                <w:webHidden/>
              </w:rPr>
              <w:fldChar w:fldCharType="separate"/>
            </w:r>
            <w:r w:rsidR="00301A90">
              <w:rPr>
                <w:webHidden/>
              </w:rPr>
              <w:t>21</w:t>
            </w:r>
            <w:r w:rsidR="00EE4979" w:rsidRPr="00EE4979">
              <w:rPr>
                <w:webHidden/>
              </w:rPr>
              <w:fldChar w:fldCharType="end"/>
            </w:r>
          </w:hyperlink>
        </w:p>
        <w:p w:rsidR="00EE4979" w:rsidRPr="00EE4979" w:rsidRDefault="0036558A" w:rsidP="00EE4979">
          <w:pPr>
            <w:pStyle w:val="TOC3"/>
            <w:rPr>
              <w:rFonts w:eastAsiaTheme="minorEastAsia"/>
            </w:rPr>
          </w:pPr>
          <w:hyperlink w:anchor="_Toc144820009" w:history="1">
            <w:r w:rsidR="00EE4979" w:rsidRPr="00EE4979">
              <w:rPr>
                <w:rStyle w:val="Hyperlink"/>
              </w:rPr>
              <w:t>2.7.1 Effect of Soil pH on Adsorption of Cd and Pb</w:t>
            </w:r>
            <w:r w:rsidR="00EE4979" w:rsidRPr="00EE4979">
              <w:rPr>
                <w:webHidden/>
              </w:rPr>
              <w:tab/>
            </w:r>
            <w:r w:rsidR="00EE4979" w:rsidRPr="00EE4979">
              <w:rPr>
                <w:webHidden/>
              </w:rPr>
              <w:fldChar w:fldCharType="begin"/>
            </w:r>
            <w:r w:rsidR="00EE4979" w:rsidRPr="00EE4979">
              <w:rPr>
                <w:webHidden/>
              </w:rPr>
              <w:instrText xml:space="preserve"> PAGEREF _Toc144820009 \h </w:instrText>
            </w:r>
            <w:r w:rsidR="00EE4979" w:rsidRPr="00EE4979">
              <w:rPr>
                <w:webHidden/>
              </w:rPr>
            </w:r>
            <w:r w:rsidR="00EE4979" w:rsidRPr="00EE4979">
              <w:rPr>
                <w:webHidden/>
              </w:rPr>
              <w:fldChar w:fldCharType="separate"/>
            </w:r>
            <w:r w:rsidR="00301A90">
              <w:rPr>
                <w:webHidden/>
              </w:rPr>
              <w:t>21</w:t>
            </w:r>
            <w:r w:rsidR="00EE4979" w:rsidRPr="00EE4979">
              <w:rPr>
                <w:webHidden/>
              </w:rPr>
              <w:fldChar w:fldCharType="end"/>
            </w:r>
          </w:hyperlink>
        </w:p>
        <w:p w:rsidR="00EE4979" w:rsidRPr="00EE4979" w:rsidRDefault="0036558A" w:rsidP="00EE4979">
          <w:pPr>
            <w:pStyle w:val="TOC3"/>
            <w:rPr>
              <w:rFonts w:eastAsiaTheme="minorEastAsia"/>
            </w:rPr>
          </w:pPr>
          <w:hyperlink w:anchor="_Toc144820010" w:history="1">
            <w:r w:rsidR="00EE4979" w:rsidRPr="00EE4979">
              <w:rPr>
                <w:rStyle w:val="Hyperlink"/>
              </w:rPr>
              <w:t>2.7.2 Effect of Adsorbent Dosage on Adsorption of Cd and Pb</w:t>
            </w:r>
            <w:r w:rsidR="00EE4979" w:rsidRPr="00EE4979">
              <w:rPr>
                <w:webHidden/>
              </w:rPr>
              <w:tab/>
            </w:r>
            <w:r w:rsidR="00EE4979" w:rsidRPr="00EE4979">
              <w:rPr>
                <w:webHidden/>
              </w:rPr>
              <w:fldChar w:fldCharType="begin"/>
            </w:r>
            <w:r w:rsidR="00EE4979" w:rsidRPr="00EE4979">
              <w:rPr>
                <w:webHidden/>
              </w:rPr>
              <w:instrText xml:space="preserve"> PAGEREF _Toc144820010 \h </w:instrText>
            </w:r>
            <w:r w:rsidR="00EE4979" w:rsidRPr="00EE4979">
              <w:rPr>
                <w:webHidden/>
              </w:rPr>
            </w:r>
            <w:r w:rsidR="00EE4979" w:rsidRPr="00EE4979">
              <w:rPr>
                <w:webHidden/>
              </w:rPr>
              <w:fldChar w:fldCharType="separate"/>
            </w:r>
            <w:r w:rsidR="00301A90">
              <w:rPr>
                <w:webHidden/>
              </w:rPr>
              <w:t>21</w:t>
            </w:r>
            <w:r w:rsidR="00EE4979" w:rsidRPr="00EE4979">
              <w:rPr>
                <w:webHidden/>
              </w:rPr>
              <w:fldChar w:fldCharType="end"/>
            </w:r>
          </w:hyperlink>
        </w:p>
        <w:p w:rsidR="00EE4979" w:rsidRPr="00EE4979" w:rsidRDefault="0036558A" w:rsidP="00EE4979">
          <w:pPr>
            <w:pStyle w:val="TOC3"/>
            <w:rPr>
              <w:rFonts w:eastAsiaTheme="minorEastAsia"/>
            </w:rPr>
          </w:pPr>
          <w:hyperlink w:anchor="_Toc144820011" w:history="1">
            <w:r w:rsidR="00EE4979" w:rsidRPr="00EE4979">
              <w:rPr>
                <w:rStyle w:val="Hyperlink"/>
              </w:rPr>
              <w:t>2.7.3 Effect of Contact Time on Adsorption of Cd and Pb</w:t>
            </w:r>
            <w:r w:rsidR="00EE4979" w:rsidRPr="00EE4979">
              <w:rPr>
                <w:webHidden/>
              </w:rPr>
              <w:tab/>
            </w:r>
            <w:r w:rsidR="00EE4979" w:rsidRPr="00EE4979">
              <w:rPr>
                <w:webHidden/>
              </w:rPr>
              <w:fldChar w:fldCharType="begin"/>
            </w:r>
            <w:r w:rsidR="00EE4979" w:rsidRPr="00EE4979">
              <w:rPr>
                <w:webHidden/>
              </w:rPr>
              <w:instrText xml:space="preserve"> PAGEREF _Toc144820011 \h </w:instrText>
            </w:r>
            <w:r w:rsidR="00EE4979" w:rsidRPr="00EE4979">
              <w:rPr>
                <w:webHidden/>
              </w:rPr>
            </w:r>
            <w:r w:rsidR="00EE4979" w:rsidRPr="00EE4979">
              <w:rPr>
                <w:webHidden/>
              </w:rPr>
              <w:fldChar w:fldCharType="separate"/>
            </w:r>
            <w:r w:rsidR="00301A90">
              <w:rPr>
                <w:webHidden/>
              </w:rPr>
              <w:t>22</w:t>
            </w:r>
            <w:r w:rsidR="00EE4979" w:rsidRPr="00EE4979">
              <w:rPr>
                <w:webHidden/>
              </w:rPr>
              <w:fldChar w:fldCharType="end"/>
            </w:r>
          </w:hyperlink>
        </w:p>
        <w:p w:rsidR="00EE4979" w:rsidRPr="00EE4979" w:rsidRDefault="0036558A" w:rsidP="00EE4979">
          <w:pPr>
            <w:pStyle w:val="TOC3"/>
            <w:rPr>
              <w:rFonts w:eastAsiaTheme="minorEastAsia"/>
            </w:rPr>
          </w:pPr>
          <w:hyperlink w:anchor="_Toc144820012" w:history="1">
            <w:r w:rsidR="00EE4979" w:rsidRPr="00EE4979">
              <w:rPr>
                <w:rStyle w:val="Hyperlink"/>
              </w:rPr>
              <w:t>2.7.4 Effect of Initial Metal Ion Concentration on Adsorption of Cd and Pb</w:t>
            </w:r>
            <w:r w:rsidR="00EE4979" w:rsidRPr="00EE4979">
              <w:rPr>
                <w:webHidden/>
              </w:rPr>
              <w:tab/>
            </w:r>
            <w:r w:rsidR="00EE4979" w:rsidRPr="00EE4979">
              <w:rPr>
                <w:webHidden/>
              </w:rPr>
              <w:fldChar w:fldCharType="begin"/>
            </w:r>
            <w:r w:rsidR="00EE4979" w:rsidRPr="00EE4979">
              <w:rPr>
                <w:webHidden/>
              </w:rPr>
              <w:instrText xml:space="preserve"> PAGEREF _Toc144820012 \h </w:instrText>
            </w:r>
            <w:r w:rsidR="00EE4979" w:rsidRPr="00EE4979">
              <w:rPr>
                <w:webHidden/>
              </w:rPr>
            </w:r>
            <w:r w:rsidR="00EE4979" w:rsidRPr="00EE4979">
              <w:rPr>
                <w:webHidden/>
              </w:rPr>
              <w:fldChar w:fldCharType="separate"/>
            </w:r>
            <w:r w:rsidR="00301A90">
              <w:rPr>
                <w:webHidden/>
              </w:rPr>
              <w:t>23</w:t>
            </w:r>
            <w:r w:rsidR="00EE4979" w:rsidRPr="00EE4979">
              <w:rPr>
                <w:webHidden/>
              </w:rPr>
              <w:fldChar w:fldCharType="end"/>
            </w:r>
          </w:hyperlink>
        </w:p>
        <w:p w:rsidR="00EE4979" w:rsidRPr="00EE4979" w:rsidRDefault="0036558A" w:rsidP="00EE4979">
          <w:pPr>
            <w:pStyle w:val="TOC3"/>
            <w:rPr>
              <w:rFonts w:eastAsiaTheme="minorEastAsia"/>
            </w:rPr>
          </w:pPr>
          <w:hyperlink w:anchor="_Toc144820013" w:history="1">
            <w:r w:rsidR="00EE4979" w:rsidRPr="00EE4979">
              <w:rPr>
                <w:rStyle w:val="Hyperlink"/>
              </w:rPr>
              <w:t>2.7.5 Adsorption Isotherms</w:t>
            </w:r>
            <w:r w:rsidR="00EE4979" w:rsidRPr="00EE4979">
              <w:rPr>
                <w:webHidden/>
              </w:rPr>
              <w:tab/>
            </w:r>
            <w:r w:rsidR="00EE4979" w:rsidRPr="00EE4979">
              <w:rPr>
                <w:webHidden/>
              </w:rPr>
              <w:fldChar w:fldCharType="begin"/>
            </w:r>
            <w:r w:rsidR="00EE4979" w:rsidRPr="00EE4979">
              <w:rPr>
                <w:webHidden/>
              </w:rPr>
              <w:instrText xml:space="preserve"> PAGEREF _Toc144820013 \h </w:instrText>
            </w:r>
            <w:r w:rsidR="00EE4979" w:rsidRPr="00EE4979">
              <w:rPr>
                <w:webHidden/>
              </w:rPr>
            </w:r>
            <w:r w:rsidR="00EE4979" w:rsidRPr="00EE4979">
              <w:rPr>
                <w:webHidden/>
              </w:rPr>
              <w:fldChar w:fldCharType="separate"/>
            </w:r>
            <w:r w:rsidR="00301A90">
              <w:rPr>
                <w:webHidden/>
              </w:rPr>
              <w:t>23</w:t>
            </w:r>
            <w:r w:rsidR="00EE4979" w:rsidRPr="00EE4979">
              <w:rPr>
                <w:webHidden/>
              </w:rPr>
              <w:fldChar w:fldCharType="end"/>
            </w:r>
          </w:hyperlink>
        </w:p>
        <w:p w:rsidR="00EE4979" w:rsidRPr="00EE4979" w:rsidRDefault="0036558A" w:rsidP="00EE4979">
          <w:pPr>
            <w:pStyle w:val="TOC3"/>
            <w:rPr>
              <w:rFonts w:eastAsiaTheme="minorEastAsia"/>
            </w:rPr>
          </w:pPr>
          <w:hyperlink w:anchor="_Toc144820014" w:history="1">
            <w:r w:rsidR="00EE4979" w:rsidRPr="00EE4979">
              <w:rPr>
                <w:rStyle w:val="Hyperlink"/>
              </w:rPr>
              <w:t>2.7.6 Adsorption Kinetics</w:t>
            </w:r>
            <w:r w:rsidR="00EE4979" w:rsidRPr="00EE4979">
              <w:rPr>
                <w:webHidden/>
              </w:rPr>
              <w:tab/>
            </w:r>
            <w:r w:rsidR="00EE4979" w:rsidRPr="00EE4979">
              <w:rPr>
                <w:webHidden/>
              </w:rPr>
              <w:fldChar w:fldCharType="begin"/>
            </w:r>
            <w:r w:rsidR="00EE4979" w:rsidRPr="00EE4979">
              <w:rPr>
                <w:webHidden/>
              </w:rPr>
              <w:instrText xml:space="preserve"> PAGEREF _Toc144820014 \h </w:instrText>
            </w:r>
            <w:r w:rsidR="00EE4979" w:rsidRPr="00EE4979">
              <w:rPr>
                <w:webHidden/>
              </w:rPr>
            </w:r>
            <w:r w:rsidR="00EE4979" w:rsidRPr="00EE4979">
              <w:rPr>
                <w:webHidden/>
              </w:rPr>
              <w:fldChar w:fldCharType="separate"/>
            </w:r>
            <w:r w:rsidR="00301A90">
              <w:rPr>
                <w:webHidden/>
              </w:rPr>
              <w:t>25</w:t>
            </w:r>
            <w:r w:rsidR="00EE4979" w:rsidRPr="00EE4979">
              <w:rPr>
                <w:webHidden/>
              </w:rPr>
              <w:fldChar w:fldCharType="end"/>
            </w:r>
          </w:hyperlink>
        </w:p>
        <w:p w:rsidR="00EE4979" w:rsidRPr="00EE4979" w:rsidRDefault="0036558A" w:rsidP="00EE4979">
          <w:pPr>
            <w:pStyle w:val="TOC2"/>
            <w:rPr>
              <w:rFonts w:eastAsiaTheme="minorEastAsia"/>
            </w:rPr>
          </w:pPr>
          <w:hyperlink w:anchor="_Toc144820015" w:history="1">
            <w:r w:rsidR="00EE4979" w:rsidRPr="00EE4979">
              <w:rPr>
                <w:rStyle w:val="Hyperlink"/>
                <w:b w:val="0"/>
              </w:rPr>
              <w:t>2.8 Analytical Methods</w:t>
            </w:r>
            <w:r w:rsidR="00EE4979" w:rsidRPr="00EE4979">
              <w:rPr>
                <w:webHidden/>
              </w:rPr>
              <w:tab/>
            </w:r>
            <w:r w:rsidR="00EE4979" w:rsidRPr="00EE4979">
              <w:rPr>
                <w:webHidden/>
              </w:rPr>
              <w:fldChar w:fldCharType="begin"/>
            </w:r>
            <w:r w:rsidR="00EE4979" w:rsidRPr="00EE4979">
              <w:rPr>
                <w:webHidden/>
              </w:rPr>
              <w:instrText xml:space="preserve"> PAGEREF _Toc144820015 \h </w:instrText>
            </w:r>
            <w:r w:rsidR="00EE4979" w:rsidRPr="00EE4979">
              <w:rPr>
                <w:webHidden/>
              </w:rPr>
            </w:r>
            <w:r w:rsidR="00EE4979" w:rsidRPr="00EE4979">
              <w:rPr>
                <w:webHidden/>
              </w:rPr>
              <w:fldChar w:fldCharType="separate"/>
            </w:r>
            <w:r w:rsidR="00301A90">
              <w:rPr>
                <w:webHidden/>
              </w:rPr>
              <w:t>26</w:t>
            </w:r>
            <w:r w:rsidR="00EE4979" w:rsidRPr="00EE4979">
              <w:rPr>
                <w:webHidden/>
              </w:rPr>
              <w:fldChar w:fldCharType="end"/>
            </w:r>
          </w:hyperlink>
        </w:p>
        <w:p w:rsidR="00EE4979" w:rsidRPr="00EE4979" w:rsidRDefault="0036558A" w:rsidP="00EE4979">
          <w:pPr>
            <w:pStyle w:val="TOC3"/>
            <w:rPr>
              <w:rFonts w:eastAsiaTheme="minorEastAsia"/>
            </w:rPr>
          </w:pPr>
          <w:hyperlink w:anchor="_Toc144820016" w:history="1">
            <w:r w:rsidR="00EE4979" w:rsidRPr="00EE4979">
              <w:rPr>
                <w:rStyle w:val="Hyperlink"/>
              </w:rPr>
              <w:t>2.8.1 Atomic Absorption Spectroscopy</w:t>
            </w:r>
            <w:r w:rsidR="00EE4979" w:rsidRPr="00EE4979">
              <w:rPr>
                <w:webHidden/>
              </w:rPr>
              <w:tab/>
            </w:r>
            <w:r w:rsidR="00EE4979" w:rsidRPr="00EE4979">
              <w:rPr>
                <w:webHidden/>
              </w:rPr>
              <w:fldChar w:fldCharType="begin"/>
            </w:r>
            <w:r w:rsidR="00EE4979" w:rsidRPr="00EE4979">
              <w:rPr>
                <w:webHidden/>
              </w:rPr>
              <w:instrText xml:space="preserve"> PAGEREF _Toc144820016 \h </w:instrText>
            </w:r>
            <w:r w:rsidR="00EE4979" w:rsidRPr="00EE4979">
              <w:rPr>
                <w:webHidden/>
              </w:rPr>
            </w:r>
            <w:r w:rsidR="00EE4979" w:rsidRPr="00EE4979">
              <w:rPr>
                <w:webHidden/>
              </w:rPr>
              <w:fldChar w:fldCharType="separate"/>
            </w:r>
            <w:r w:rsidR="00301A90">
              <w:rPr>
                <w:webHidden/>
              </w:rPr>
              <w:t>26</w:t>
            </w:r>
            <w:r w:rsidR="00EE4979" w:rsidRPr="00EE4979">
              <w:rPr>
                <w:webHidden/>
              </w:rPr>
              <w:fldChar w:fldCharType="end"/>
            </w:r>
          </w:hyperlink>
        </w:p>
        <w:p w:rsidR="00EE4979" w:rsidRPr="00EE4979" w:rsidRDefault="0036558A" w:rsidP="00EE4979">
          <w:pPr>
            <w:pStyle w:val="TOC3"/>
            <w:rPr>
              <w:rFonts w:eastAsiaTheme="minorEastAsia"/>
            </w:rPr>
          </w:pPr>
          <w:hyperlink w:anchor="_Toc144820017" w:history="1">
            <w:r w:rsidR="00EE4979" w:rsidRPr="00EE4979">
              <w:rPr>
                <w:rStyle w:val="Hyperlink"/>
              </w:rPr>
              <w:t>2.8.2 Nanoparticle Characterization Methods</w:t>
            </w:r>
            <w:r w:rsidR="00EE4979" w:rsidRPr="00EE4979">
              <w:rPr>
                <w:webHidden/>
              </w:rPr>
              <w:tab/>
            </w:r>
            <w:r w:rsidR="00EE4979" w:rsidRPr="00EE4979">
              <w:rPr>
                <w:webHidden/>
              </w:rPr>
              <w:fldChar w:fldCharType="begin"/>
            </w:r>
            <w:r w:rsidR="00EE4979" w:rsidRPr="00EE4979">
              <w:rPr>
                <w:webHidden/>
              </w:rPr>
              <w:instrText xml:space="preserve"> PAGEREF _Toc144820017 \h </w:instrText>
            </w:r>
            <w:r w:rsidR="00EE4979" w:rsidRPr="00EE4979">
              <w:rPr>
                <w:webHidden/>
              </w:rPr>
            </w:r>
            <w:r w:rsidR="00EE4979" w:rsidRPr="00EE4979">
              <w:rPr>
                <w:webHidden/>
              </w:rPr>
              <w:fldChar w:fldCharType="separate"/>
            </w:r>
            <w:r w:rsidR="00301A90">
              <w:rPr>
                <w:webHidden/>
              </w:rPr>
              <w:t>27</w:t>
            </w:r>
            <w:r w:rsidR="00EE4979" w:rsidRPr="00EE4979">
              <w:rPr>
                <w:webHidden/>
              </w:rPr>
              <w:fldChar w:fldCharType="end"/>
            </w:r>
          </w:hyperlink>
        </w:p>
        <w:p w:rsidR="00EE4979" w:rsidRPr="00EE4979" w:rsidRDefault="0036558A" w:rsidP="00EE4979">
          <w:pPr>
            <w:pStyle w:val="TOC3"/>
            <w:ind w:left="720"/>
            <w:rPr>
              <w:rFonts w:eastAsiaTheme="minorEastAsia"/>
            </w:rPr>
          </w:pPr>
          <w:hyperlink w:anchor="_Toc144820018" w:history="1">
            <w:r w:rsidR="00EE4979" w:rsidRPr="00EE4979">
              <w:rPr>
                <w:rStyle w:val="Hyperlink"/>
              </w:rPr>
              <w:t>2.8.2.1 Fourier Transform Infrared Spectroscopy</w:t>
            </w:r>
            <w:r w:rsidR="00EE4979" w:rsidRPr="00EE4979">
              <w:rPr>
                <w:webHidden/>
              </w:rPr>
              <w:tab/>
            </w:r>
            <w:r w:rsidR="00EE4979" w:rsidRPr="00EE4979">
              <w:rPr>
                <w:webHidden/>
              </w:rPr>
              <w:fldChar w:fldCharType="begin"/>
            </w:r>
            <w:r w:rsidR="00EE4979" w:rsidRPr="00EE4979">
              <w:rPr>
                <w:webHidden/>
              </w:rPr>
              <w:instrText xml:space="preserve"> PAGEREF _Toc144820018 \h </w:instrText>
            </w:r>
            <w:r w:rsidR="00EE4979" w:rsidRPr="00EE4979">
              <w:rPr>
                <w:webHidden/>
              </w:rPr>
            </w:r>
            <w:r w:rsidR="00EE4979" w:rsidRPr="00EE4979">
              <w:rPr>
                <w:webHidden/>
              </w:rPr>
              <w:fldChar w:fldCharType="separate"/>
            </w:r>
            <w:r w:rsidR="00301A90">
              <w:rPr>
                <w:webHidden/>
              </w:rPr>
              <w:t>27</w:t>
            </w:r>
            <w:r w:rsidR="00EE4979" w:rsidRPr="00EE4979">
              <w:rPr>
                <w:webHidden/>
              </w:rPr>
              <w:fldChar w:fldCharType="end"/>
            </w:r>
          </w:hyperlink>
        </w:p>
        <w:p w:rsidR="00EE4979" w:rsidRPr="00EE4979" w:rsidRDefault="0036558A" w:rsidP="00EE4979">
          <w:pPr>
            <w:pStyle w:val="TOC3"/>
            <w:ind w:left="720"/>
            <w:rPr>
              <w:rFonts w:eastAsiaTheme="minorEastAsia"/>
            </w:rPr>
          </w:pPr>
          <w:hyperlink w:anchor="_Toc144820019" w:history="1">
            <w:r w:rsidR="00EE4979" w:rsidRPr="00EE4979">
              <w:rPr>
                <w:rStyle w:val="Hyperlink"/>
              </w:rPr>
              <w:t>2.8.2.2 Scanning Electron Microscopy</w:t>
            </w:r>
            <w:r w:rsidR="00EE4979" w:rsidRPr="00EE4979">
              <w:rPr>
                <w:webHidden/>
              </w:rPr>
              <w:tab/>
            </w:r>
            <w:r w:rsidR="00EE4979" w:rsidRPr="00EE4979">
              <w:rPr>
                <w:webHidden/>
              </w:rPr>
              <w:fldChar w:fldCharType="begin"/>
            </w:r>
            <w:r w:rsidR="00EE4979" w:rsidRPr="00EE4979">
              <w:rPr>
                <w:webHidden/>
              </w:rPr>
              <w:instrText xml:space="preserve"> PAGEREF _Toc144820019 \h </w:instrText>
            </w:r>
            <w:r w:rsidR="00EE4979" w:rsidRPr="00EE4979">
              <w:rPr>
                <w:webHidden/>
              </w:rPr>
            </w:r>
            <w:r w:rsidR="00EE4979" w:rsidRPr="00EE4979">
              <w:rPr>
                <w:webHidden/>
              </w:rPr>
              <w:fldChar w:fldCharType="separate"/>
            </w:r>
            <w:r w:rsidR="00301A90">
              <w:rPr>
                <w:webHidden/>
              </w:rPr>
              <w:t>29</w:t>
            </w:r>
            <w:r w:rsidR="00EE4979" w:rsidRPr="00EE4979">
              <w:rPr>
                <w:webHidden/>
              </w:rPr>
              <w:fldChar w:fldCharType="end"/>
            </w:r>
          </w:hyperlink>
        </w:p>
        <w:p w:rsidR="00EE4979" w:rsidRPr="00EE4979" w:rsidRDefault="0036558A" w:rsidP="00EE4979">
          <w:pPr>
            <w:pStyle w:val="TOC3"/>
            <w:ind w:left="720"/>
            <w:rPr>
              <w:rFonts w:eastAsiaTheme="minorEastAsia"/>
            </w:rPr>
          </w:pPr>
          <w:hyperlink w:anchor="_Toc144820020" w:history="1">
            <w:r w:rsidR="00EE4979" w:rsidRPr="00EE4979">
              <w:rPr>
                <w:rStyle w:val="Hyperlink"/>
              </w:rPr>
              <w:t>2.8.2.3 X-Ray Diffraction</w:t>
            </w:r>
            <w:r w:rsidR="00EE4979" w:rsidRPr="00EE4979">
              <w:rPr>
                <w:webHidden/>
              </w:rPr>
              <w:tab/>
            </w:r>
            <w:r w:rsidR="00EE4979" w:rsidRPr="00EE4979">
              <w:rPr>
                <w:webHidden/>
              </w:rPr>
              <w:fldChar w:fldCharType="begin"/>
            </w:r>
            <w:r w:rsidR="00EE4979" w:rsidRPr="00EE4979">
              <w:rPr>
                <w:webHidden/>
              </w:rPr>
              <w:instrText xml:space="preserve"> PAGEREF _Toc144820020 \h </w:instrText>
            </w:r>
            <w:r w:rsidR="00EE4979" w:rsidRPr="00EE4979">
              <w:rPr>
                <w:webHidden/>
              </w:rPr>
            </w:r>
            <w:r w:rsidR="00EE4979" w:rsidRPr="00EE4979">
              <w:rPr>
                <w:webHidden/>
              </w:rPr>
              <w:fldChar w:fldCharType="separate"/>
            </w:r>
            <w:r w:rsidR="00301A90">
              <w:rPr>
                <w:webHidden/>
              </w:rPr>
              <w:t>29</w:t>
            </w:r>
            <w:r w:rsidR="00EE4979" w:rsidRPr="00EE4979">
              <w:rPr>
                <w:webHidden/>
              </w:rPr>
              <w:fldChar w:fldCharType="end"/>
            </w:r>
          </w:hyperlink>
        </w:p>
        <w:p w:rsidR="00EE4979" w:rsidRPr="00EE4979" w:rsidRDefault="0036558A">
          <w:pPr>
            <w:pStyle w:val="TOC1"/>
            <w:rPr>
              <w:rFonts w:eastAsiaTheme="minorEastAsia"/>
              <w:b/>
            </w:rPr>
          </w:pPr>
          <w:hyperlink w:anchor="_Toc144820021" w:history="1">
            <w:r w:rsidR="00EE4979" w:rsidRPr="00EE4979">
              <w:rPr>
                <w:rStyle w:val="Hyperlink"/>
                <w:b/>
              </w:rPr>
              <w:t>CHAPTER THREE</w:t>
            </w:r>
            <w:r w:rsidR="00EE4979" w:rsidRPr="00EE4979">
              <w:rPr>
                <w:b/>
                <w:webHidden/>
              </w:rPr>
              <w:tab/>
            </w:r>
            <w:r w:rsidR="00EE4979" w:rsidRPr="00EE4979">
              <w:rPr>
                <w:b/>
                <w:webHidden/>
              </w:rPr>
              <w:fldChar w:fldCharType="begin"/>
            </w:r>
            <w:r w:rsidR="00EE4979" w:rsidRPr="00EE4979">
              <w:rPr>
                <w:b/>
                <w:webHidden/>
              </w:rPr>
              <w:instrText xml:space="preserve"> PAGEREF _Toc144820021 \h </w:instrText>
            </w:r>
            <w:r w:rsidR="00EE4979" w:rsidRPr="00EE4979">
              <w:rPr>
                <w:b/>
                <w:webHidden/>
              </w:rPr>
            </w:r>
            <w:r w:rsidR="00EE4979" w:rsidRPr="00EE4979">
              <w:rPr>
                <w:b/>
                <w:webHidden/>
              </w:rPr>
              <w:fldChar w:fldCharType="separate"/>
            </w:r>
            <w:r w:rsidR="00301A90">
              <w:rPr>
                <w:b/>
                <w:webHidden/>
              </w:rPr>
              <w:t>31</w:t>
            </w:r>
            <w:r w:rsidR="00EE4979" w:rsidRPr="00EE4979">
              <w:rPr>
                <w:b/>
                <w:webHidden/>
              </w:rPr>
              <w:fldChar w:fldCharType="end"/>
            </w:r>
          </w:hyperlink>
        </w:p>
        <w:p w:rsidR="00EE4979" w:rsidRPr="00EE4979" w:rsidRDefault="0036558A">
          <w:pPr>
            <w:pStyle w:val="TOC1"/>
            <w:rPr>
              <w:rFonts w:eastAsiaTheme="minorEastAsia"/>
              <w:b/>
            </w:rPr>
          </w:pPr>
          <w:hyperlink w:anchor="_Toc144820022" w:history="1">
            <w:r w:rsidR="00EE4979" w:rsidRPr="00EE4979">
              <w:rPr>
                <w:rStyle w:val="Hyperlink"/>
                <w:b/>
              </w:rPr>
              <w:t>METHODOLOGY</w:t>
            </w:r>
            <w:r w:rsidR="00EE4979" w:rsidRPr="00EE4979">
              <w:rPr>
                <w:b/>
                <w:webHidden/>
              </w:rPr>
              <w:tab/>
            </w:r>
            <w:r w:rsidR="00EE4979" w:rsidRPr="00EE4979">
              <w:rPr>
                <w:b/>
                <w:webHidden/>
              </w:rPr>
              <w:fldChar w:fldCharType="begin"/>
            </w:r>
            <w:r w:rsidR="00EE4979" w:rsidRPr="00EE4979">
              <w:rPr>
                <w:b/>
                <w:webHidden/>
              </w:rPr>
              <w:instrText xml:space="preserve"> PAGEREF _Toc144820022 \h </w:instrText>
            </w:r>
            <w:r w:rsidR="00EE4979" w:rsidRPr="00EE4979">
              <w:rPr>
                <w:b/>
                <w:webHidden/>
              </w:rPr>
            </w:r>
            <w:r w:rsidR="00EE4979" w:rsidRPr="00EE4979">
              <w:rPr>
                <w:b/>
                <w:webHidden/>
              </w:rPr>
              <w:fldChar w:fldCharType="separate"/>
            </w:r>
            <w:r w:rsidR="00301A90">
              <w:rPr>
                <w:b/>
                <w:webHidden/>
              </w:rPr>
              <w:t>31</w:t>
            </w:r>
            <w:r w:rsidR="00EE4979" w:rsidRPr="00EE4979">
              <w:rPr>
                <w:b/>
                <w:webHidden/>
              </w:rPr>
              <w:fldChar w:fldCharType="end"/>
            </w:r>
          </w:hyperlink>
        </w:p>
        <w:p w:rsidR="00EE4979" w:rsidRPr="00EE4979" w:rsidRDefault="0036558A" w:rsidP="00EE4979">
          <w:pPr>
            <w:pStyle w:val="TOC2"/>
            <w:rPr>
              <w:rFonts w:eastAsiaTheme="minorEastAsia"/>
            </w:rPr>
          </w:pPr>
          <w:hyperlink w:anchor="_Toc144820023" w:history="1">
            <w:r w:rsidR="00EE4979" w:rsidRPr="00EE4979">
              <w:rPr>
                <w:rStyle w:val="Hyperlink"/>
                <w:b w:val="0"/>
              </w:rPr>
              <w:t>3.1 Research Design</w:t>
            </w:r>
            <w:r w:rsidR="00EE4979" w:rsidRPr="00EE4979">
              <w:rPr>
                <w:webHidden/>
              </w:rPr>
              <w:tab/>
            </w:r>
            <w:r w:rsidR="00EE4979" w:rsidRPr="00EE4979">
              <w:rPr>
                <w:webHidden/>
              </w:rPr>
              <w:fldChar w:fldCharType="begin"/>
            </w:r>
            <w:r w:rsidR="00EE4979" w:rsidRPr="00EE4979">
              <w:rPr>
                <w:webHidden/>
              </w:rPr>
              <w:instrText xml:space="preserve"> PAGEREF _Toc144820023 \h </w:instrText>
            </w:r>
            <w:r w:rsidR="00EE4979" w:rsidRPr="00EE4979">
              <w:rPr>
                <w:webHidden/>
              </w:rPr>
            </w:r>
            <w:r w:rsidR="00EE4979" w:rsidRPr="00EE4979">
              <w:rPr>
                <w:webHidden/>
              </w:rPr>
              <w:fldChar w:fldCharType="separate"/>
            </w:r>
            <w:r w:rsidR="00301A90">
              <w:rPr>
                <w:webHidden/>
              </w:rPr>
              <w:t>31</w:t>
            </w:r>
            <w:r w:rsidR="00EE4979" w:rsidRPr="00EE4979">
              <w:rPr>
                <w:webHidden/>
              </w:rPr>
              <w:fldChar w:fldCharType="end"/>
            </w:r>
          </w:hyperlink>
        </w:p>
        <w:p w:rsidR="00EE4979" w:rsidRPr="00EE4979" w:rsidRDefault="0036558A" w:rsidP="00EE4979">
          <w:pPr>
            <w:pStyle w:val="TOC2"/>
            <w:rPr>
              <w:rFonts w:eastAsiaTheme="minorEastAsia"/>
            </w:rPr>
          </w:pPr>
          <w:hyperlink w:anchor="_Toc144820024" w:history="1">
            <w:r w:rsidR="00EE4979" w:rsidRPr="00EE4979">
              <w:rPr>
                <w:rStyle w:val="Hyperlink"/>
                <w:b w:val="0"/>
              </w:rPr>
              <w:t>3.2 Reagents and Chemicals</w:t>
            </w:r>
            <w:r w:rsidR="00EE4979" w:rsidRPr="00EE4979">
              <w:rPr>
                <w:webHidden/>
              </w:rPr>
              <w:tab/>
            </w:r>
            <w:r w:rsidR="00EE4979" w:rsidRPr="00EE4979">
              <w:rPr>
                <w:webHidden/>
              </w:rPr>
              <w:fldChar w:fldCharType="begin"/>
            </w:r>
            <w:r w:rsidR="00EE4979" w:rsidRPr="00EE4979">
              <w:rPr>
                <w:webHidden/>
              </w:rPr>
              <w:instrText xml:space="preserve"> PAGEREF _Toc144820024 \h </w:instrText>
            </w:r>
            <w:r w:rsidR="00EE4979" w:rsidRPr="00EE4979">
              <w:rPr>
                <w:webHidden/>
              </w:rPr>
            </w:r>
            <w:r w:rsidR="00EE4979" w:rsidRPr="00EE4979">
              <w:rPr>
                <w:webHidden/>
              </w:rPr>
              <w:fldChar w:fldCharType="separate"/>
            </w:r>
            <w:r w:rsidR="00301A90">
              <w:rPr>
                <w:webHidden/>
              </w:rPr>
              <w:t>31</w:t>
            </w:r>
            <w:r w:rsidR="00EE4979" w:rsidRPr="00EE4979">
              <w:rPr>
                <w:webHidden/>
              </w:rPr>
              <w:fldChar w:fldCharType="end"/>
            </w:r>
          </w:hyperlink>
        </w:p>
        <w:p w:rsidR="00EE4979" w:rsidRPr="00EE4979" w:rsidRDefault="0036558A" w:rsidP="00EE4979">
          <w:pPr>
            <w:pStyle w:val="TOC2"/>
            <w:rPr>
              <w:rFonts w:eastAsiaTheme="minorEastAsia"/>
            </w:rPr>
          </w:pPr>
          <w:hyperlink w:anchor="_Toc144820025" w:history="1">
            <w:r w:rsidR="00EE4979" w:rsidRPr="00EE4979">
              <w:rPr>
                <w:rStyle w:val="Hyperlink"/>
                <w:b w:val="0"/>
              </w:rPr>
              <w:t>3.3 Method Validation</w:t>
            </w:r>
            <w:r w:rsidR="00EE4979" w:rsidRPr="00EE4979">
              <w:rPr>
                <w:webHidden/>
              </w:rPr>
              <w:tab/>
            </w:r>
            <w:r w:rsidR="00EE4979" w:rsidRPr="00EE4979">
              <w:rPr>
                <w:webHidden/>
              </w:rPr>
              <w:fldChar w:fldCharType="begin"/>
            </w:r>
            <w:r w:rsidR="00EE4979" w:rsidRPr="00EE4979">
              <w:rPr>
                <w:webHidden/>
              </w:rPr>
              <w:instrText xml:space="preserve"> PAGEREF _Toc144820025 \h </w:instrText>
            </w:r>
            <w:r w:rsidR="00EE4979" w:rsidRPr="00EE4979">
              <w:rPr>
                <w:webHidden/>
              </w:rPr>
            </w:r>
            <w:r w:rsidR="00EE4979" w:rsidRPr="00EE4979">
              <w:rPr>
                <w:webHidden/>
              </w:rPr>
              <w:fldChar w:fldCharType="separate"/>
            </w:r>
            <w:r w:rsidR="00301A90">
              <w:rPr>
                <w:webHidden/>
              </w:rPr>
              <w:t>32</w:t>
            </w:r>
            <w:r w:rsidR="00EE4979" w:rsidRPr="00EE4979">
              <w:rPr>
                <w:webHidden/>
              </w:rPr>
              <w:fldChar w:fldCharType="end"/>
            </w:r>
          </w:hyperlink>
        </w:p>
        <w:p w:rsidR="00EE4979" w:rsidRPr="00EE4979" w:rsidRDefault="0036558A" w:rsidP="00EE4979">
          <w:pPr>
            <w:pStyle w:val="TOC3"/>
            <w:rPr>
              <w:rFonts w:eastAsiaTheme="minorEastAsia"/>
            </w:rPr>
          </w:pPr>
          <w:hyperlink w:anchor="_Toc144820026" w:history="1">
            <w:r w:rsidR="00EE4979" w:rsidRPr="00EE4979">
              <w:rPr>
                <w:rStyle w:val="Hyperlink"/>
              </w:rPr>
              <w:t>3.3.1 Recovery Tests</w:t>
            </w:r>
            <w:r w:rsidR="00EE4979" w:rsidRPr="00EE4979">
              <w:rPr>
                <w:webHidden/>
              </w:rPr>
              <w:tab/>
            </w:r>
            <w:r w:rsidR="00EE4979" w:rsidRPr="00EE4979">
              <w:rPr>
                <w:webHidden/>
              </w:rPr>
              <w:fldChar w:fldCharType="begin"/>
            </w:r>
            <w:r w:rsidR="00EE4979" w:rsidRPr="00EE4979">
              <w:rPr>
                <w:webHidden/>
              </w:rPr>
              <w:instrText xml:space="preserve"> PAGEREF _Toc144820026 \h </w:instrText>
            </w:r>
            <w:r w:rsidR="00EE4979" w:rsidRPr="00EE4979">
              <w:rPr>
                <w:webHidden/>
              </w:rPr>
            </w:r>
            <w:r w:rsidR="00EE4979" w:rsidRPr="00EE4979">
              <w:rPr>
                <w:webHidden/>
              </w:rPr>
              <w:fldChar w:fldCharType="separate"/>
            </w:r>
            <w:r w:rsidR="00301A90">
              <w:rPr>
                <w:webHidden/>
              </w:rPr>
              <w:t>32</w:t>
            </w:r>
            <w:r w:rsidR="00EE4979" w:rsidRPr="00EE4979">
              <w:rPr>
                <w:webHidden/>
              </w:rPr>
              <w:fldChar w:fldCharType="end"/>
            </w:r>
          </w:hyperlink>
        </w:p>
        <w:p w:rsidR="00EE4979" w:rsidRPr="00EE4979" w:rsidRDefault="0036558A" w:rsidP="00EE4979">
          <w:pPr>
            <w:pStyle w:val="TOC3"/>
            <w:rPr>
              <w:rFonts w:eastAsiaTheme="minorEastAsia"/>
            </w:rPr>
          </w:pPr>
          <w:hyperlink w:anchor="_Toc144820027" w:history="1">
            <w:r w:rsidR="00EE4979" w:rsidRPr="00EE4979">
              <w:rPr>
                <w:rStyle w:val="Hyperlink"/>
              </w:rPr>
              <w:t>3.3.2 Limit of Detection of AAS</w:t>
            </w:r>
            <w:r w:rsidR="00EE4979" w:rsidRPr="00EE4979">
              <w:rPr>
                <w:webHidden/>
              </w:rPr>
              <w:tab/>
            </w:r>
            <w:r w:rsidR="00EE4979" w:rsidRPr="00EE4979">
              <w:rPr>
                <w:webHidden/>
              </w:rPr>
              <w:fldChar w:fldCharType="begin"/>
            </w:r>
            <w:r w:rsidR="00EE4979" w:rsidRPr="00EE4979">
              <w:rPr>
                <w:webHidden/>
              </w:rPr>
              <w:instrText xml:space="preserve"> PAGEREF _Toc144820027 \h </w:instrText>
            </w:r>
            <w:r w:rsidR="00EE4979" w:rsidRPr="00EE4979">
              <w:rPr>
                <w:webHidden/>
              </w:rPr>
            </w:r>
            <w:r w:rsidR="00EE4979" w:rsidRPr="00EE4979">
              <w:rPr>
                <w:webHidden/>
              </w:rPr>
              <w:fldChar w:fldCharType="separate"/>
            </w:r>
            <w:r w:rsidR="00301A90">
              <w:rPr>
                <w:webHidden/>
              </w:rPr>
              <w:t>32</w:t>
            </w:r>
            <w:r w:rsidR="00EE4979" w:rsidRPr="00EE4979">
              <w:rPr>
                <w:webHidden/>
              </w:rPr>
              <w:fldChar w:fldCharType="end"/>
            </w:r>
          </w:hyperlink>
        </w:p>
        <w:p w:rsidR="00EE4979" w:rsidRPr="00EE4979" w:rsidRDefault="0036558A" w:rsidP="00EE4979">
          <w:pPr>
            <w:pStyle w:val="TOC2"/>
            <w:rPr>
              <w:rFonts w:eastAsiaTheme="minorEastAsia"/>
            </w:rPr>
          </w:pPr>
          <w:hyperlink w:anchor="_Toc144820028" w:history="1">
            <w:r w:rsidR="00EE4979" w:rsidRPr="00EE4979">
              <w:rPr>
                <w:rStyle w:val="Hyperlink"/>
                <w:b w:val="0"/>
              </w:rPr>
              <w:t>3.4 Synthesis of Hydroxyapatite Nano-fertilizers</w:t>
            </w:r>
            <w:r w:rsidR="00EE4979" w:rsidRPr="00EE4979">
              <w:rPr>
                <w:webHidden/>
              </w:rPr>
              <w:tab/>
            </w:r>
            <w:r w:rsidR="00EE4979" w:rsidRPr="00EE4979">
              <w:rPr>
                <w:webHidden/>
              </w:rPr>
              <w:fldChar w:fldCharType="begin"/>
            </w:r>
            <w:r w:rsidR="00EE4979" w:rsidRPr="00EE4979">
              <w:rPr>
                <w:webHidden/>
              </w:rPr>
              <w:instrText xml:space="preserve"> PAGEREF _Toc144820028 \h </w:instrText>
            </w:r>
            <w:r w:rsidR="00EE4979" w:rsidRPr="00EE4979">
              <w:rPr>
                <w:webHidden/>
              </w:rPr>
            </w:r>
            <w:r w:rsidR="00EE4979" w:rsidRPr="00EE4979">
              <w:rPr>
                <w:webHidden/>
              </w:rPr>
              <w:fldChar w:fldCharType="separate"/>
            </w:r>
            <w:r w:rsidR="00301A90">
              <w:rPr>
                <w:webHidden/>
              </w:rPr>
              <w:t>32</w:t>
            </w:r>
            <w:r w:rsidR="00EE4979" w:rsidRPr="00EE4979">
              <w:rPr>
                <w:webHidden/>
              </w:rPr>
              <w:fldChar w:fldCharType="end"/>
            </w:r>
          </w:hyperlink>
        </w:p>
        <w:p w:rsidR="00EE4979" w:rsidRPr="00EE4979" w:rsidRDefault="0036558A" w:rsidP="00EE4979">
          <w:pPr>
            <w:pStyle w:val="TOC3"/>
            <w:rPr>
              <w:rFonts w:eastAsiaTheme="minorEastAsia"/>
            </w:rPr>
          </w:pPr>
          <w:hyperlink w:anchor="_Toc144820029" w:history="1">
            <w:r w:rsidR="00EE4979" w:rsidRPr="00EE4979">
              <w:rPr>
                <w:rStyle w:val="Hyperlink"/>
              </w:rPr>
              <w:t>3.4.1 Synthesis of Synthetic nHA Nano-fertilizers</w:t>
            </w:r>
            <w:r w:rsidR="00EE4979" w:rsidRPr="00EE4979">
              <w:rPr>
                <w:webHidden/>
              </w:rPr>
              <w:tab/>
            </w:r>
            <w:r w:rsidR="00EE4979" w:rsidRPr="00EE4979">
              <w:rPr>
                <w:webHidden/>
              </w:rPr>
              <w:fldChar w:fldCharType="begin"/>
            </w:r>
            <w:r w:rsidR="00EE4979" w:rsidRPr="00EE4979">
              <w:rPr>
                <w:webHidden/>
              </w:rPr>
              <w:instrText xml:space="preserve"> PAGEREF _Toc144820029 \h </w:instrText>
            </w:r>
            <w:r w:rsidR="00EE4979" w:rsidRPr="00EE4979">
              <w:rPr>
                <w:webHidden/>
              </w:rPr>
            </w:r>
            <w:r w:rsidR="00EE4979" w:rsidRPr="00EE4979">
              <w:rPr>
                <w:webHidden/>
              </w:rPr>
              <w:fldChar w:fldCharType="separate"/>
            </w:r>
            <w:r w:rsidR="00301A90">
              <w:rPr>
                <w:webHidden/>
              </w:rPr>
              <w:t>32</w:t>
            </w:r>
            <w:r w:rsidR="00EE4979" w:rsidRPr="00EE4979">
              <w:rPr>
                <w:webHidden/>
              </w:rPr>
              <w:fldChar w:fldCharType="end"/>
            </w:r>
          </w:hyperlink>
        </w:p>
        <w:p w:rsidR="00EE4979" w:rsidRPr="00EE4979" w:rsidRDefault="0036558A" w:rsidP="00EE4979">
          <w:pPr>
            <w:pStyle w:val="TOC3"/>
            <w:rPr>
              <w:rFonts w:eastAsiaTheme="minorEastAsia"/>
            </w:rPr>
          </w:pPr>
          <w:hyperlink w:anchor="_Toc144820030" w:history="1">
            <w:r w:rsidR="00EE4979" w:rsidRPr="00EE4979">
              <w:rPr>
                <w:rStyle w:val="Hyperlink"/>
              </w:rPr>
              <w:t>3.4.2 Synthesis of Bone nHA Nano-fertilizers</w:t>
            </w:r>
            <w:r w:rsidR="00EE4979" w:rsidRPr="00EE4979">
              <w:rPr>
                <w:webHidden/>
              </w:rPr>
              <w:tab/>
            </w:r>
            <w:r w:rsidR="00EE4979" w:rsidRPr="00EE4979">
              <w:rPr>
                <w:webHidden/>
              </w:rPr>
              <w:fldChar w:fldCharType="begin"/>
            </w:r>
            <w:r w:rsidR="00EE4979" w:rsidRPr="00EE4979">
              <w:rPr>
                <w:webHidden/>
              </w:rPr>
              <w:instrText xml:space="preserve"> PAGEREF _Toc144820030 \h </w:instrText>
            </w:r>
            <w:r w:rsidR="00EE4979" w:rsidRPr="00EE4979">
              <w:rPr>
                <w:webHidden/>
              </w:rPr>
            </w:r>
            <w:r w:rsidR="00EE4979" w:rsidRPr="00EE4979">
              <w:rPr>
                <w:webHidden/>
              </w:rPr>
              <w:fldChar w:fldCharType="separate"/>
            </w:r>
            <w:r w:rsidR="00301A90">
              <w:rPr>
                <w:webHidden/>
              </w:rPr>
              <w:t>33</w:t>
            </w:r>
            <w:r w:rsidR="00EE4979" w:rsidRPr="00EE4979">
              <w:rPr>
                <w:webHidden/>
              </w:rPr>
              <w:fldChar w:fldCharType="end"/>
            </w:r>
          </w:hyperlink>
        </w:p>
        <w:p w:rsidR="00EE4979" w:rsidRPr="00EE4979" w:rsidRDefault="0036558A" w:rsidP="00EE4979">
          <w:pPr>
            <w:pStyle w:val="TOC2"/>
            <w:rPr>
              <w:rFonts w:eastAsiaTheme="minorEastAsia"/>
            </w:rPr>
          </w:pPr>
          <w:hyperlink w:anchor="_Toc144820031" w:history="1">
            <w:r w:rsidR="00EE4979" w:rsidRPr="00EE4979">
              <w:rPr>
                <w:rStyle w:val="Hyperlink"/>
                <w:b w:val="0"/>
              </w:rPr>
              <w:t>3.5 Nanoparticle Characterization</w:t>
            </w:r>
            <w:r w:rsidR="00EE4979" w:rsidRPr="00EE4979">
              <w:rPr>
                <w:webHidden/>
              </w:rPr>
              <w:tab/>
            </w:r>
            <w:r w:rsidR="00EE4979" w:rsidRPr="00EE4979">
              <w:rPr>
                <w:webHidden/>
              </w:rPr>
              <w:fldChar w:fldCharType="begin"/>
            </w:r>
            <w:r w:rsidR="00EE4979" w:rsidRPr="00EE4979">
              <w:rPr>
                <w:webHidden/>
              </w:rPr>
              <w:instrText xml:space="preserve"> PAGEREF _Toc144820031 \h </w:instrText>
            </w:r>
            <w:r w:rsidR="00EE4979" w:rsidRPr="00EE4979">
              <w:rPr>
                <w:webHidden/>
              </w:rPr>
            </w:r>
            <w:r w:rsidR="00EE4979" w:rsidRPr="00EE4979">
              <w:rPr>
                <w:webHidden/>
              </w:rPr>
              <w:fldChar w:fldCharType="separate"/>
            </w:r>
            <w:r w:rsidR="00301A90">
              <w:rPr>
                <w:webHidden/>
              </w:rPr>
              <w:t>34</w:t>
            </w:r>
            <w:r w:rsidR="00EE4979" w:rsidRPr="00EE4979">
              <w:rPr>
                <w:webHidden/>
              </w:rPr>
              <w:fldChar w:fldCharType="end"/>
            </w:r>
          </w:hyperlink>
        </w:p>
        <w:p w:rsidR="00EE4979" w:rsidRPr="00EE4979" w:rsidRDefault="0036558A" w:rsidP="00EE4979">
          <w:pPr>
            <w:pStyle w:val="TOC2"/>
            <w:rPr>
              <w:rFonts w:eastAsiaTheme="minorEastAsia"/>
            </w:rPr>
          </w:pPr>
          <w:hyperlink w:anchor="_Toc144820032" w:history="1">
            <w:r w:rsidR="00EE4979" w:rsidRPr="00EE4979">
              <w:rPr>
                <w:rStyle w:val="Hyperlink"/>
                <w:b w:val="0"/>
              </w:rPr>
              <w:t>3.6 Determination of Cd and Pb Uptake in Kale, Spinach and Beans</w:t>
            </w:r>
            <w:r w:rsidR="00EE4979" w:rsidRPr="00EE4979">
              <w:rPr>
                <w:webHidden/>
              </w:rPr>
              <w:tab/>
            </w:r>
            <w:r w:rsidR="00EE4979" w:rsidRPr="00EE4979">
              <w:rPr>
                <w:webHidden/>
              </w:rPr>
              <w:fldChar w:fldCharType="begin"/>
            </w:r>
            <w:r w:rsidR="00EE4979" w:rsidRPr="00EE4979">
              <w:rPr>
                <w:webHidden/>
              </w:rPr>
              <w:instrText xml:space="preserve"> PAGEREF _Toc144820032 \h </w:instrText>
            </w:r>
            <w:r w:rsidR="00EE4979" w:rsidRPr="00EE4979">
              <w:rPr>
                <w:webHidden/>
              </w:rPr>
            </w:r>
            <w:r w:rsidR="00EE4979" w:rsidRPr="00EE4979">
              <w:rPr>
                <w:webHidden/>
              </w:rPr>
              <w:fldChar w:fldCharType="separate"/>
            </w:r>
            <w:r w:rsidR="00301A90">
              <w:rPr>
                <w:webHidden/>
              </w:rPr>
              <w:t>35</w:t>
            </w:r>
            <w:r w:rsidR="00EE4979" w:rsidRPr="00EE4979">
              <w:rPr>
                <w:webHidden/>
              </w:rPr>
              <w:fldChar w:fldCharType="end"/>
            </w:r>
          </w:hyperlink>
        </w:p>
        <w:p w:rsidR="00EE4979" w:rsidRPr="00EE4979" w:rsidRDefault="0036558A" w:rsidP="00EE4979">
          <w:pPr>
            <w:pStyle w:val="TOC3"/>
            <w:rPr>
              <w:rFonts w:eastAsiaTheme="minorEastAsia"/>
            </w:rPr>
          </w:pPr>
          <w:hyperlink w:anchor="_Toc144820033" w:history="1">
            <w:r w:rsidR="00EE4979" w:rsidRPr="00EE4979">
              <w:rPr>
                <w:rStyle w:val="Hyperlink"/>
              </w:rPr>
              <w:t>3.6.1 Harvesting of Plant Samples</w:t>
            </w:r>
            <w:r w:rsidR="00EE4979" w:rsidRPr="00EE4979">
              <w:rPr>
                <w:webHidden/>
              </w:rPr>
              <w:tab/>
            </w:r>
            <w:r w:rsidR="00EE4979" w:rsidRPr="00EE4979">
              <w:rPr>
                <w:webHidden/>
              </w:rPr>
              <w:fldChar w:fldCharType="begin"/>
            </w:r>
            <w:r w:rsidR="00EE4979" w:rsidRPr="00EE4979">
              <w:rPr>
                <w:webHidden/>
              </w:rPr>
              <w:instrText xml:space="preserve"> PAGEREF _Toc144820033 \h </w:instrText>
            </w:r>
            <w:r w:rsidR="00EE4979" w:rsidRPr="00EE4979">
              <w:rPr>
                <w:webHidden/>
              </w:rPr>
            </w:r>
            <w:r w:rsidR="00EE4979" w:rsidRPr="00EE4979">
              <w:rPr>
                <w:webHidden/>
              </w:rPr>
              <w:fldChar w:fldCharType="separate"/>
            </w:r>
            <w:r w:rsidR="00301A90">
              <w:rPr>
                <w:webHidden/>
              </w:rPr>
              <w:t>36</w:t>
            </w:r>
            <w:r w:rsidR="00EE4979" w:rsidRPr="00EE4979">
              <w:rPr>
                <w:webHidden/>
              </w:rPr>
              <w:fldChar w:fldCharType="end"/>
            </w:r>
          </w:hyperlink>
        </w:p>
        <w:p w:rsidR="00EE4979" w:rsidRPr="00EE4979" w:rsidRDefault="0036558A" w:rsidP="00EE4979">
          <w:pPr>
            <w:pStyle w:val="TOC3"/>
            <w:rPr>
              <w:rFonts w:eastAsiaTheme="minorEastAsia"/>
            </w:rPr>
          </w:pPr>
          <w:hyperlink w:anchor="_Toc144820034" w:history="1">
            <w:r w:rsidR="00EE4979" w:rsidRPr="00EE4979">
              <w:rPr>
                <w:rStyle w:val="Hyperlink"/>
              </w:rPr>
              <w:t>3.6.2 Preparation of Standards</w:t>
            </w:r>
            <w:r w:rsidR="00EE4979" w:rsidRPr="00EE4979">
              <w:rPr>
                <w:webHidden/>
              </w:rPr>
              <w:tab/>
            </w:r>
            <w:r w:rsidR="00EE4979" w:rsidRPr="00EE4979">
              <w:rPr>
                <w:webHidden/>
              </w:rPr>
              <w:fldChar w:fldCharType="begin"/>
            </w:r>
            <w:r w:rsidR="00EE4979" w:rsidRPr="00EE4979">
              <w:rPr>
                <w:webHidden/>
              </w:rPr>
              <w:instrText xml:space="preserve"> PAGEREF _Toc144820034 \h </w:instrText>
            </w:r>
            <w:r w:rsidR="00EE4979" w:rsidRPr="00EE4979">
              <w:rPr>
                <w:webHidden/>
              </w:rPr>
            </w:r>
            <w:r w:rsidR="00EE4979" w:rsidRPr="00EE4979">
              <w:rPr>
                <w:webHidden/>
              </w:rPr>
              <w:fldChar w:fldCharType="separate"/>
            </w:r>
            <w:r w:rsidR="00301A90">
              <w:rPr>
                <w:webHidden/>
              </w:rPr>
              <w:t>36</w:t>
            </w:r>
            <w:r w:rsidR="00EE4979" w:rsidRPr="00EE4979">
              <w:rPr>
                <w:webHidden/>
              </w:rPr>
              <w:fldChar w:fldCharType="end"/>
            </w:r>
          </w:hyperlink>
        </w:p>
        <w:p w:rsidR="00EE4979" w:rsidRPr="00EE4979" w:rsidRDefault="0036558A" w:rsidP="00EE4979">
          <w:pPr>
            <w:pStyle w:val="TOC3"/>
            <w:rPr>
              <w:rFonts w:eastAsiaTheme="minorEastAsia"/>
            </w:rPr>
          </w:pPr>
          <w:hyperlink w:anchor="_Toc144820035" w:history="1">
            <w:r w:rsidR="00EE4979" w:rsidRPr="00EE4979">
              <w:rPr>
                <w:rStyle w:val="Hyperlink"/>
              </w:rPr>
              <w:t>3.6.3 Sample Digestion and Heavy Metal Determination</w:t>
            </w:r>
            <w:r w:rsidR="00EE4979" w:rsidRPr="00EE4979">
              <w:rPr>
                <w:webHidden/>
              </w:rPr>
              <w:tab/>
            </w:r>
            <w:r w:rsidR="00EE4979" w:rsidRPr="00EE4979">
              <w:rPr>
                <w:webHidden/>
              </w:rPr>
              <w:fldChar w:fldCharType="begin"/>
            </w:r>
            <w:r w:rsidR="00EE4979" w:rsidRPr="00EE4979">
              <w:rPr>
                <w:webHidden/>
              </w:rPr>
              <w:instrText xml:space="preserve"> PAGEREF _Toc144820035 \h </w:instrText>
            </w:r>
            <w:r w:rsidR="00EE4979" w:rsidRPr="00EE4979">
              <w:rPr>
                <w:webHidden/>
              </w:rPr>
            </w:r>
            <w:r w:rsidR="00EE4979" w:rsidRPr="00EE4979">
              <w:rPr>
                <w:webHidden/>
              </w:rPr>
              <w:fldChar w:fldCharType="separate"/>
            </w:r>
            <w:r w:rsidR="00301A90">
              <w:rPr>
                <w:webHidden/>
              </w:rPr>
              <w:t>37</w:t>
            </w:r>
            <w:r w:rsidR="00EE4979" w:rsidRPr="00EE4979">
              <w:rPr>
                <w:webHidden/>
              </w:rPr>
              <w:fldChar w:fldCharType="end"/>
            </w:r>
          </w:hyperlink>
        </w:p>
        <w:p w:rsidR="00EE4979" w:rsidRPr="00EE4979" w:rsidRDefault="0036558A" w:rsidP="00EE4979">
          <w:pPr>
            <w:pStyle w:val="TOC2"/>
            <w:rPr>
              <w:rFonts w:eastAsiaTheme="minorEastAsia"/>
            </w:rPr>
          </w:pPr>
          <w:hyperlink w:anchor="_Toc144820036" w:history="1">
            <w:r w:rsidR="00EE4979" w:rsidRPr="00EE4979">
              <w:rPr>
                <w:rStyle w:val="Hyperlink"/>
                <w:b w:val="0"/>
              </w:rPr>
              <w:t>3.7 Determination of Growth Performance</w:t>
            </w:r>
            <w:r w:rsidR="00EE4979" w:rsidRPr="00EE4979">
              <w:rPr>
                <w:webHidden/>
              </w:rPr>
              <w:tab/>
            </w:r>
            <w:r w:rsidR="00EE4979" w:rsidRPr="00EE4979">
              <w:rPr>
                <w:webHidden/>
              </w:rPr>
              <w:fldChar w:fldCharType="begin"/>
            </w:r>
            <w:r w:rsidR="00EE4979" w:rsidRPr="00EE4979">
              <w:rPr>
                <w:webHidden/>
              </w:rPr>
              <w:instrText xml:space="preserve"> PAGEREF _Toc144820036 \h </w:instrText>
            </w:r>
            <w:r w:rsidR="00EE4979" w:rsidRPr="00EE4979">
              <w:rPr>
                <w:webHidden/>
              </w:rPr>
            </w:r>
            <w:r w:rsidR="00EE4979" w:rsidRPr="00EE4979">
              <w:rPr>
                <w:webHidden/>
              </w:rPr>
              <w:fldChar w:fldCharType="separate"/>
            </w:r>
            <w:r w:rsidR="00301A90">
              <w:rPr>
                <w:webHidden/>
              </w:rPr>
              <w:t>38</w:t>
            </w:r>
            <w:r w:rsidR="00EE4979" w:rsidRPr="00EE4979">
              <w:rPr>
                <w:webHidden/>
              </w:rPr>
              <w:fldChar w:fldCharType="end"/>
            </w:r>
          </w:hyperlink>
        </w:p>
        <w:p w:rsidR="00EE4979" w:rsidRPr="00EE4979" w:rsidRDefault="0036558A" w:rsidP="00EE4979">
          <w:pPr>
            <w:pStyle w:val="TOC3"/>
            <w:rPr>
              <w:rFonts w:eastAsiaTheme="minorEastAsia"/>
            </w:rPr>
          </w:pPr>
          <w:hyperlink w:anchor="_Toc144820037" w:history="1">
            <w:r w:rsidR="00EE4979" w:rsidRPr="00EE4979">
              <w:rPr>
                <w:rStyle w:val="Hyperlink"/>
              </w:rPr>
              <w:t>3.7.1 Plant Height</w:t>
            </w:r>
            <w:r w:rsidR="00EE4979" w:rsidRPr="00EE4979">
              <w:rPr>
                <w:webHidden/>
              </w:rPr>
              <w:tab/>
            </w:r>
            <w:r w:rsidR="00EE4979" w:rsidRPr="00EE4979">
              <w:rPr>
                <w:webHidden/>
              </w:rPr>
              <w:fldChar w:fldCharType="begin"/>
            </w:r>
            <w:r w:rsidR="00EE4979" w:rsidRPr="00EE4979">
              <w:rPr>
                <w:webHidden/>
              </w:rPr>
              <w:instrText xml:space="preserve"> PAGEREF _Toc144820037 \h </w:instrText>
            </w:r>
            <w:r w:rsidR="00EE4979" w:rsidRPr="00EE4979">
              <w:rPr>
                <w:webHidden/>
              </w:rPr>
            </w:r>
            <w:r w:rsidR="00EE4979" w:rsidRPr="00EE4979">
              <w:rPr>
                <w:webHidden/>
              </w:rPr>
              <w:fldChar w:fldCharType="separate"/>
            </w:r>
            <w:r w:rsidR="00301A90">
              <w:rPr>
                <w:webHidden/>
              </w:rPr>
              <w:t>38</w:t>
            </w:r>
            <w:r w:rsidR="00EE4979" w:rsidRPr="00EE4979">
              <w:rPr>
                <w:webHidden/>
              </w:rPr>
              <w:fldChar w:fldCharType="end"/>
            </w:r>
          </w:hyperlink>
        </w:p>
        <w:p w:rsidR="00EE4979" w:rsidRPr="00EE4979" w:rsidRDefault="0036558A" w:rsidP="00EE4979">
          <w:pPr>
            <w:pStyle w:val="TOC3"/>
            <w:rPr>
              <w:rFonts w:eastAsiaTheme="minorEastAsia"/>
            </w:rPr>
          </w:pPr>
          <w:hyperlink w:anchor="_Toc144820038" w:history="1">
            <w:r w:rsidR="00EE4979" w:rsidRPr="00EE4979">
              <w:rPr>
                <w:rStyle w:val="Hyperlink"/>
              </w:rPr>
              <w:t>3.7.2 Leaf Diameter</w:t>
            </w:r>
            <w:r w:rsidR="00EE4979" w:rsidRPr="00EE4979">
              <w:rPr>
                <w:webHidden/>
              </w:rPr>
              <w:tab/>
            </w:r>
            <w:r w:rsidR="00EE4979" w:rsidRPr="00EE4979">
              <w:rPr>
                <w:webHidden/>
              </w:rPr>
              <w:fldChar w:fldCharType="begin"/>
            </w:r>
            <w:r w:rsidR="00EE4979" w:rsidRPr="00EE4979">
              <w:rPr>
                <w:webHidden/>
              </w:rPr>
              <w:instrText xml:space="preserve"> PAGEREF _Toc144820038 \h </w:instrText>
            </w:r>
            <w:r w:rsidR="00EE4979" w:rsidRPr="00EE4979">
              <w:rPr>
                <w:webHidden/>
              </w:rPr>
            </w:r>
            <w:r w:rsidR="00EE4979" w:rsidRPr="00EE4979">
              <w:rPr>
                <w:webHidden/>
              </w:rPr>
              <w:fldChar w:fldCharType="separate"/>
            </w:r>
            <w:r w:rsidR="00301A90">
              <w:rPr>
                <w:webHidden/>
              </w:rPr>
              <w:t>38</w:t>
            </w:r>
            <w:r w:rsidR="00EE4979" w:rsidRPr="00EE4979">
              <w:rPr>
                <w:webHidden/>
              </w:rPr>
              <w:fldChar w:fldCharType="end"/>
            </w:r>
          </w:hyperlink>
        </w:p>
        <w:p w:rsidR="00EE4979" w:rsidRPr="00EE4979" w:rsidRDefault="0036558A" w:rsidP="00EE4979">
          <w:pPr>
            <w:pStyle w:val="TOC3"/>
            <w:rPr>
              <w:rFonts w:eastAsiaTheme="minorEastAsia"/>
            </w:rPr>
          </w:pPr>
          <w:hyperlink w:anchor="_Toc144820039" w:history="1">
            <w:r w:rsidR="00EE4979" w:rsidRPr="00EE4979">
              <w:rPr>
                <w:rStyle w:val="Hyperlink"/>
              </w:rPr>
              <w:t>3.7.3 Number of Leaves</w:t>
            </w:r>
            <w:r w:rsidR="00EE4979" w:rsidRPr="00EE4979">
              <w:rPr>
                <w:webHidden/>
              </w:rPr>
              <w:tab/>
            </w:r>
            <w:r w:rsidR="00EE4979" w:rsidRPr="00EE4979">
              <w:rPr>
                <w:webHidden/>
              </w:rPr>
              <w:fldChar w:fldCharType="begin"/>
            </w:r>
            <w:r w:rsidR="00EE4979" w:rsidRPr="00EE4979">
              <w:rPr>
                <w:webHidden/>
              </w:rPr>
              <w:instrText xml:space="preserve"> PAGEREF _Toc144820039 \h </w:instrText>
            </w:r>
            <w:r w:rsidR="00EE4979" w:rsidRPr="00EE4979">
              <w:rPr>
                <w:webHidden/>
              </w:rPr>
            </w:r>
            <w:r w:rsidR="00EE4979" w:rsidRPr="00EE4979">
              <w:rPr>
                <w:webHidden/>
              </w:rPr>
              <w:fldChar w:fldCharType="separate"/>
            </w:r>
            <w:r w:rsidR="00301A90">
              <w:rPr>
                <w:webHidden/>
              </w:rPr>
              <w:t>38</w:t>
            </w:r>
            <w:r w:rsidR="00EE4979" w:rsidRPr="00EE4979">
              <w:rPr>
                <w:webHidden/>
              </w:rPr>
              <w:fldChar w:fldCharType="end"/>
            </w:r>
          </w:hyperlink>
        </w:p>
        <w:p w:rsidR="00EE4979" w:rsidRPr="00EE4979" w:rsidRDefault="0036558A" w:rsidP="00EE4979">
          <w:pPr>
            <w:pStyle w:val="TOC3"/>
            <w:rPr>
              <w:rFonts w:eastAsiaTheme="minorEastAsia"/>
            </w:rPr>
          </w:pPr>
          <w:hyperlink w:anchor="_Toc144820040" w:history="1">
            <w:r w:rsidR="00EE4979" w:rsidRPr="00EE4979">
              <w:rPr>
                <w:rStyle w:val="Hyperlink"/>
              </w:rPr>
              <w:t>3.7.4 Number of Pods</w:t>
            </w:r>
            <w:r w:rsidR="00EE4979" w:rsidRPr="00EE4979">
              <w:rPr>
                <w:webHidden/>
              </w:rPr>
              <w:tab/>
            </w:r>
            <w:r w:rsidR="00EE4979" w:rsidRPr="00EE4979">
              <w:rPr>
                <w:webHidden/>
              </w:rPr>
              <w:fldChar w:fldCharType="begin"/>
            </w:r>
            <w:r w:rsidR="00EE4979" w:rsidRPr="00EE4979">
              <w:rPr>
                <w:webHidden/>
              </w:rPr>
              <w:instrText xml:space="preserve"> PAGEREF _Toc144820040 \h </w:instrText>
            </w:r>
            <w:r w:rsidR="00EE4979" w:rsidRPr="00EE4979">
              <w:rPr>
                <w:webHidden/>
              </w:rPr>
            </w:r>
            <w:r w:rsidR="00EE4979" w:rsidRPr="00EE4979">
              <w:rPr>
                <w:webHidden/>
              </w:rPr>
              <w:fldChar w:fldCharType="separate"/>
            </w:r>
            <w:r w:rsidR="00301A90">
              <w:rPr>
                <w:webHidden/>
              </w:rPr>
              <w:t>39</w:t>
            </w:r>
            <w:r w:rsidR="00EE4979" w:rsidRPr="00EE4979">
              <w:rPr>
                <w:webHidden/>
              </w:rPr>
              <w:fldChar w:fldCharType="end"/>
            </w:r>
          </w:hyperlink>
        </w:p>
        <w:p w:rsidR="00EE4979" w:rsidRPr="00EE4979" w:rsidRDefault="0036558A" w:rsidP="00EE4979">
          <w:pPr>
            <w:pStyle w:val="TOC3"/>
            <w:rPr>
              <w:rFonts w:eastAsiaTheme="minorEastAsia"/>
            </w:rPr>
          </w:pPr>
          <w:hyperlink w:anchor="_Toc144820041" w:history="1">
            <w:r w:rsidR="00EE4979" w:rsidRPr="00EE4979">
              <w:rPr>
                <w:rStyle w:val="Hyperlink"/>
              </w:rPr>
              <w:t>3.7.5 Dry Biomass Weight</w:t>
            </w:r>
            <w:r w:rsidR="00EE4979" w:rsidRPr="00EE4979">
              <w:rPr>
                <w:webHidden/>
              </w:rPr>
              <w:tab/>
            </w:r>
            <w:r w:rsidR="00EE4979" w:rsidRPr="00EE4979">
              <w:rPr>
                <w:webHidden/>
              </w:rPr>
              <w:fldChar w:fldCharType="begin"/>
            </w:r>
            <w:r w:rsidR="00EE4979" w:rsidRPr="00EE4979">
              <w:rPr>
                <w:webHidden/>
              </w:rPr>
              <w:instrText xml:space="preserve"> PAGEREF _Toc144820041 \h </w:instrText>
            </w:r>
            <w:r w:rsidR="00EE4979" w:rsidRPr="00EE4979">
              <w:rPr>
                <w:webHidden/>
              </w:rPr>
            </w:r>
            <w:r w:rsidR="00EE4979" w:rsidRPr="00EE4979">
              <w:rPr>
                <w:webHidden/>
              </w:rPr>
              <w:fldChar w:fldCharType="separate"/>
            </w:r>
            <w:r w:rsidR="00301A90">
              <w:rPr>
                <w:webHidden/>
              </w:rPr>
              <w:t>39</w:t>
            </w:r>
            <w:r w:rsidR="00EE4979" w:rsidRPr="00EE4979">
              <w:rPr>
                <w:webHidden/>
              </w:rPr>
              <w:fldChar w:fldCharType="end"/>
            </w:r>
          </w:hyperlink>
        </w:p>
        <w:p w:rsidR="00EE4979" w:rsidRPr="00EE4979" w:rsidRDefault="0036558A" w:rsidP="00EE4979">
          <w:pPr>
            <w:pStyle w:val="TOC2"/>
            <w:rPr>
              <w:rFonts w:eastAsiaTheme="minorEastAsia"/>
            </w:rPr>
          </w:pPr>
          <w:hyperlink w:anchor="_Toc144820042" w:history="1">
            <w:r w:rsidR="00EE4979" w:rsidRPr="00EE4979">
              <w:rPr>
                <w:rStyle w:val="Hyperlink"/>
                <w:b w:val="0"/>
              </w:rPr>
              <w:t>3.8 Determination of Adsorption Capacity of Nanofertilizers</w:t>
            </w:r>
            <w:r w:rsidR="00EE4979" w:rsidRPr="00EE4979">
              <w:rPr>
                <w:webHidden/>
              </w:rPr>
              <w:tab/>
            </w:r>
            <w:r w:rsidR="00EE4979" w:rsidRPr="00EE4979">
              <w:rPr>
                <w:webHidden/>
              </w:rPr>
              <w:fldChar w:fldCharType="begin"/>
            </w:r>
            <w:r w:rsidR="00EE4979" w:rsidRPr="00EE4979">
              <w:rPr>
                <w:webHidden/>
              </w:rPr>
              <w:instrText xml:space="preserve"> PAGEREF _Toc144820042 \h </w:instrText>
            </w:r>
            <w:r w:rsidR="00EE4979" w:rsidRPr="00EE4979">
              <w:rPr>
                <w:webHidden/>
              </w:rPr>
            </w:r>
            <w:r w:rsidR="00EE4979" w:rsidRPr="00EE4979">
              <w:rPr>
                <w:webHidden/>
              </w:rPr>
              <w:fldChar w:fldCharType="separate"/>
            </w:r>
            <w:r w:rsidR="00301A90">
              <w:rPr>
                <w:webHidden/>
              </w:rPr>
              <w:t>39</w:t>
            </w:r>
            <w:r w:rsidR="00EE4979" w:rsidRPr="00EE4979">
              <w:rPr>
                <w:webHidden/>
              </w:rPr>
              <w:fldChar w:fldCharType="end"/>
            </w:r>
          </w:hyperlink>
        </w:p>
        <w:p w:rsidR="00EE4979" w:rsidRPr="00EE4979" w:rsidRDefault="0036558A" w:rsidP="00EE4979">
          <w:pPr>
            <w:pStyle w:val="TOC3"/>
            <w:rPr>
              <w:rFonts w:eastAsiaTheme="minorEastAsia"/>
            </w:rPr>
          </w:pPr>
          <w:hyperlink w:anchor="_Toc144820043" w:history="1">
            <w:r w:rsidR="00EE4979" w:rsidRPr="00EE4979">
              <w:rPr>
                <w:rStyle w:val="Hyperlink"/>
              </w:rPr>
              <w:t>3.8.1 Effect of pH on Removal of Metal</w:t>
            </w:r>
            <w:r w:rsidR="00EE4979" w:rsidRPr="00EE4979">
              <w:rPr>
                <w:webHidden/>
              </w:rPr>
              <w:tab/>
            </w:r>
            <w:r w:rsidR="00EE4979" w:rsidRPr="00EE4979">
              <w:rPr>
                <w:webHidden/>
              </w:rPr>
              <w:fldChar w:fldCharType="begin"/>
            </w:r>
            <w:r w:rsidR="00EE4979" w:rsidRPr="00EE4979">
              <w:rPr>
                <w:webHidden/>
              </w:rPr>
              <w:instrText xml:space="preserve"> PAGEREF _Toc144820043 \h </w:instrText>
            </w:r>
            <w:r w:rsidR="00EE4979" w:rsidRPr="00EE4979">
              <w:rPr>
                <w:webHidden/>
              </w:rPr>
            </w:r>
            <w:r w:rsidR="00EE4979" w:rsidRPr="00EE4979">
              <w:rPr>
                <w:webHidden/>
              </w:rPr>
              <w:fldChar w:fldCharType="separate"/>
            </w:r>
            <w:r w:rsidR="00301A90">
              <w:rPr>
                <w:webHidden/>
              </w:rPr>
              <w:t>39</w:t>
            </w:r>
            <w:r w:rsidR="00EE4979" w:rsidRPr="00EE4979">
              <w:rPr>
                <w:webHidden/>
              </w:rPr>
              <w:fldChar w:fldCharType="end"/>
            </w:r>
          </w:hyperlink>
        </w:p>
        <w:p w:rsidR="00EE4979" w:rsidRPr="00EE4979" w:rsidRDefault="0036558A" w:rsidP="00EE4979">
          <w:pPr>
            <w:pStyle w:val="TOC3"/>
            <w:rPr>
              <w:rFonts w:eastAsiaTheme="minorEastAsia"/>
            </w:rPr>
          </w:pPr>
          <w:hyperlink w:anchor="_Toc144820044" w:history="1">
            <w:r w:rsidR="00EE4979" w:rsidRPr="00EE4979">
              <w:rPr>
                <w:rStyle w:val="Hyperlink"/>
              </w:rPr>
              <w:t>3.8.2 Effect of Initial Metal Concentration on Removal of Metal</w:t>
            </w:r>
            <w:r w:rsidR="00EE4979" w:rsidRPr="00EE4979">
              <w:rPr>
                <w:webHidden/>
              </w:rPr>
              <w:tab/>
            </w:r>
            <w:r w:rsidR="00EE4979" w:rsidRPr="00EE4979">
              <w:rPr>
                <w:webHidden/>
              </w:rPr>
              <w:fldChar w:fldCharType="begin"/>
            </w:r>
            <w:r w:rsidR="00EE4979" w:rsidRPr="00EE4979">
              <w:rPr>
                <w:webHidden/>
              </w:rPr>
              <w:instrText xml:space="preserve"> PAGEREF _Toc144820044 \h </w:instrText>
            </w:r>
            <w:r w:rsidR="00EE4979" w:rsidRPr="00EE4979">
              <w:rPr>
                <w:webHidden/>
              </w:rPr>
            </w:r>
            <w:r w:rsidR="00EE4979" w:rsidRPr="00EE4979">
              <w:rPr>
                <w:webHidden/>
              </w:rPr>
              <w:fldChar w:fldCharType="separate"/>
            </w:r>
            <w:r w:rsidR="00301A90">
              <w:rPr>
                <w:webHidden/>
              </w:rPr>
              <w:t>40</w:t>
            </w:r>
            <w:r w:rsidR="00EE4979" w:rsidRPr="00EE4979">
              <w:rPr>
                <w:webHidden/>
              </w:rPr>
              <w:fldChar w:fldCharType="end"/>
            </w:r>
          </w:hyperlink>
        </w:p>
        <w:p w:rsidR="00EE4979" w:rsidRPr="00EE4979" w:rsidRDefault="0036558A" w:rsidP="00EE4979">
          <w:pPr>
            <w:pStyle w:val="TOC3"/>
            <w:rPr>
              <w:rFonts w:eastAsiaTheme="minorEastAsia"/>
            </w:rPr>
          </w:pPr>
          <w:hyperlink w:anchor="_Toc144820045" w:history="1">
            <w:r w:rsidR="00EE4979" w:rsidRPr="00EE4979">
              <w:rPr>
                <w:rStyle w:val="Hyperlink"/>
              </w:rPr>
              <w:t>3.8.3 Effect of Contact Time on Removal of Metal</w:t>
            </w:r>
            <w:r w:rsidR="00EE4979" w:rsidRPr="00EE4979">
              <w:rPr>
                <w:webHidden/>
              </w:rPr>
              <w:tab/>
            </w:r>
            <w:r w:rsidR="00EE4979" w:rsidRPr="00EE4979">
              <w:rPr>
                <w:webHidden/>
              </w:rPr>
              <w:fldChar w:fldCharType="begin"/>
            </w:r>
            <w:r w:rsidR="00EE4979" w:rsidRPr="00EE4979">
              <w:rPr>
                <w:webHidden/>
              </w:rPr>
              <w:instrText xml:space="preserve"> PAGEREF _Toc144820045 \h </w:instrText>
            </w:r>
            <w:r w:rsidR="00EE4979" w:rsidRPr="00EE4979">
              <w:rPr>
                <w:webHidden/>
              </w:rPr>
            </w:r>
            <w:r w:rsidR="00EE4979" w:rsidRPr="00EE4979">
              <w:rPr>
                <w:webHidden/>
              </w:rPr>
              <w:fldChar w:fldCharType="separate"/>
            </w:r>
            <w:r w:rsidR="00301A90">
              <w:rPr>
                <w:webHidden/>
              </w:rPr>
              <w:t>40</w:t>
            </w:r>
            <w:r w:rsidR="00EE4979" w:rsidRPr="00EE4979">
              <w:rPr>
                <w:webHidden/>
              </w:rPr>
              <w:fldChar w:fldCharType="end"/>
            </w:r>
          </w:hyperlink>
        </w:p>
        <w:p w:rsidR="00EE4979" w:rsidRPr="00EE4979" w:rsidRDefault="0036558A" w:rsidP="00EE4979">
          <w:pPr>
            <w:pStyle w:val="TOC3"/>
            <w:rPr>
              <w:rFonts w:eastAsiaTheme="minorEastAsia"/>
            </w:rPr>
          </w:pPr>
          <w:hyperlink w:anchor="_Toc144820046" w:history="1">
            <w:r w:rsidR="00EE4979" w:rsidRPr="00EE4979">
              <w:rPr>
                <w:rStyle w:val="Hyperlink"/>
              </w:rPr>
              <w:t>3.8.4 Effect of Adsorbent Dosage on Removal of Metal</w:t>
            </w:r>
            <w:r w:rsidR="00EE4979" w:rsidRPr="00EE4979">
              <w:rPr>
                <w:webHidden/>
              </w:rPr>
              <w:tab/>
            </w:r>
            <w:r w:rsidR="00EE4979" w:rsidRPr="00EE4979">
              <w:rPr>
                <w:webHidden/>
              </w:rPr>
              <w:fldChar w:fldCharType="begin"/>
            </w:r>
            <w:r w:rsidR="00EE4979" w:rsidRPr="00EE4979">
              <w:rPr>
                <w:webHidden/>
              </w:rPr>
              <w:instrText xml:space="preserve"> PAGEREF _Toc144820046 \h </w:instrText>
            </w:r>
            <w:r w:rsidR="00EE4979" w:rsidRPr="00EE4979">
              <w:rPr>
                <w:webHidden/>
              </w:rPr>
            </w:r>
            <w:r w:rsidR="00EE4979" w:rsidRPr="00EE4979">
              <w:rPr>
                <w:webHidden/>
              </w:rPr>
              <w:fldChar w:fldCharType="separate"/>
            </w:r>
            <w:r w:rsidR="00301A90">
              <w:rPr>
                <w:webHidden/>
              </w:rPr>
              <w:t>41</w:t>
            </w:r>
            <w:r w:rsidR="00EE4979" w:rsidRPr="00EE4979">
              <w:rPr>
                <w:webHidden/>
              </w:rPr>
              <w:fldChar w:fldCharType="end"/>
            </w:r>
          </w:hyperlink>
        </w:p>
        <w:p w:rsidR="00EE4979" w:rsidRPr="00EE4979" w:rsidRDefault="0036558A" w:rsidP="00EE4979">
          <w:pPr>
            <w:pStyle w:val="TOC2"/>
            <w:rPr>
              <w:rFonts w:eastAsiaTheme="minorEastAsia"/>
            </w:rPr>
          </w:pPr>
          <w:hyperlink w:anchor="_Toc144820047" w:history="1">
            <w:r w:rsidR="00EE4979" w:rsidRPr="00EE4979">
              <w:rPr>
                <w:rStyle w:val="Hyperlink"/>
                <w:b w:val="0"/>
              </w:rPr>
              <w:t>3.9 Adsorption and Kinetic Studies</w:t>
            </w:r>
            <w:r w:rsidR="00EE4979" w:rsidRPr="00EE4979">
              <w:rPr>
                <w:webHidden/>
              </w:rPr>
              <w:tab/>
            </w:r>
            <w:r w:rsidR="00EE4979" w:rsidRPr="00EE4979">
              <w:rPr>
                <w:webHidden/>
              </w:rPr>
              <w:fldChar w:fldCharType="begin"/>
            </w:r>
            <w:r w:rsidR="00EE4979" w:rsidRPr="00EE4979">
              <w:rPr>
                <w:webHidden/>
              </w:rPr>
              <w:instrText xml:space="preserve"> PAGEREF _Toc144820047 \h </w:instrText>
            </w:r>
            <w:r w:rsidR="00EE4979" w:rsidRPr="00EE4979">
              <w:rPr>
                <w:webHidden/>
              </w:rPr>
            </w:r>
            <w:r w:rsidR="00EE4979" w:rsidRPr="00EE4979">
              <w:rPr>
                <w:webHidden/>
              </w:rPr>
              <w:fldChar w:fldCharType="separate"/>
            </w:r>
            <w:r w:rsidR="00301A90">
              <w:rPr>
                <w:webHidden/>
              </w:rPr>
              <w:t>41</w:t>
            </w:r>
            <w:r w:rsidR="00EE4979" w:rsidRPr="00EE4979">
              <w:rPr>
                <w:webHidden/>
              </w:rPr>
              <w:fldChar w:fldCharType="end"/>
            </w:r>
          </w:hyperlink>
        </w:p>
        <w:p w:rsidR="00EE4979" w:rsidRPr="00EE4979" w:rsidRDefault="0036558A" w:rsidP="00EE4979">
          <w:pPr>
            <w:pStyle w:val="TOC2"/>
            <w:rPr>
              <w:rFonts w:eastAsiaTheme="minorEastAsia"/>
            </w:rPr>
          </w:pPr>
          <w:hyperlink w:anchor="_Toc144820048" w:history="1">
            <w:r w:rsidR="00EE4979" w:rsidRPr="00EE4979">
              <w:rPr>
                <w:rStyle w:val="Hyperlink"/>
                <w:b w:val="0"/>
              </w:rPr>
              <w:t>3.10 Nutrients Release Levels by Nano-fertilizers</w:t>
            </w:r>
            <w:r w:rsidR="00EE4979" w:rsidRPr="00EE4979">
              <w:rPr>
                <w:webHidden/>
              </w:rPr>
              <w:tab/>
            </w:r>
            <w:r w:rsidR="00EE4979" w:rsidRPr="00EE4979">
              <w:rPr>
                <w:webHidden/>
              </w:rPr>
              <w:fldChar w:fldCharType="begin"/>
            </w:r>
            <w:r w:rsidR="00EE4979" w:rsidRPr="00EE4979">
              <w:rPr>
                <w:webHidden/>
              </w:rPr>
              <w:instrText xml:space="preserve"> PAGEREF _Toc144820048 \h </w:instrText>
            </w:r>
            <w:r w:rsidR="00EE4979" w:rsidRPr="00EE4979">
              <w:rPr>
                <w:webHidden/>
              </w:rPr>
            </w:r>
            <w:r w:rsidR="00EE4979" w:rsidRPr="00EE4979">
              <w:rPr>
                <w:webHidden/>
              </w:rPr>
              <w:fldChar w:fldCharType="separate"/>
            </w:r>
            <w:r w:rsidR="00301A90">
              <w:rPr>
                <w:webHidden/>
              </w:rPr>
              <w:t>42</w:t>
            </w:r>
            <w:r w:rsidR="00EE4979" w:rsidRPr="00EE4979">
              <w:rPr>
                <w:webHidden/>
              </w:rPr>
              <w:fldChar w:fldCharType="end"/>
            </w:r>
          </w:hyperlink>
        </w:p>
        <w:p w:rsidR="00EE4979" w:rsidRPr="00EE4979" w:rsidRDefault="0036558A" w:rsidP="00EE4979">
          <w:pPr>
            <w:pStyle w:val="TOC2"/>
            <w:rPr>
              <w:rFonts w:eastAsiaTheme="minorEastAsia"/>
            </w:rPr>
          </w:pPr>
          <w:hyperlink w:anchor="_Toc144820049" w:history="1">
            <w:r w:rsidR="00EE4979" w:rsidRPr="00EE4979">
              <w:rPr>
                <w:rStyle w:val="Hyperlink"/>
                <w:b w:val="0"/>
              </w:rPr>
              <w:t>3.11 Data Analysis</w:t>
            </w:r>
            <w:r w:rsidR="00EE4979" w:rsidRPr="00EE4979">
              <w:rPr>
                <w:webHidden/>
              </w:rPr>
              <w:tab/>
            </w:r>
            <w:r w:rsidR="00EE4979" w:rsidRPr="00EE4979">
              <w:rPr>
                <w:webHidden/>
              </w:rPr>
              <w:fldChar w:fldCharType="begin"/>
            </w:r>
            <w:r w:rsidR="00EE4979" w:rsidRPr="00EE4979">
              <w:rPr>
                <w:webHidden/>
              </w:rPr>
              <w:instrText xml:space="preserve"> PAGEREF _Toc144820049 \h </w:instrText>
            </w:r>
            <w:r w:rsidR="00EE4979" w:rsidRPr="00EE4979">
              <w:rPr>
                <w:webHidden/>
              </w:rPr>
            </w:r>
            <w:r w:rsidR="00EE4979" w:rsidRPr="00EE4979">
              <w:rPr>
                <w:webHidden/>
              </w:rPr>
              <w:fldChar w:fldCharType="separate"/>
            </w:r>
            <w:r w:rsidR="00301A90">
              <w:rPr>
                <w:webHidden/>
              </w:rPr>
              <w:t>42</w:t>
            </w:r>
            <w:r w:rsidR="00EE4979" w:rsidRPr="00EE4979">
              <w:rPr>
                <w:webHidden/>
              </w:rPr>
              <w:fldChar w:fldCharType="end"/>
            </w:r>
          </w:hyperlink>
        </w:p>
        <w:p w:rsidR="00EE4979" w:rsidRPr="00EE4979" w:rsidRDefault="0036558A">
          <w:pPr>
            <w:pStyle w:val="TOC1"/>
            <w:rPr>
              <w:rFonts w:eastAsiaTheme="minorEastAsia"/>
              <w:b/>
            </w:rPr>
          </w:pPr>
          <w:hyperlink w:anchor="_Toc144820050" w:history="1">
            <w:r w:rsidR="00EE4979" w:rsidRPr="00EE4979">
              <w:rPr>
                <w:rStyle w:val="Hyperlink"/>
                <w:b/>
              </w:rPr>
              <w:t>CHAPTER FOUR</w:t>
            </w:r>
            <w:r w:rsidR="00EE4979" w:rsidRPr="00EE4979">
              <w:rPr>
                <w:b/>
                <w:webHidden/>
              </w:rPr>
              <w:tab/>
            </w:r>
            <w:r w:rsidR="00EE4979" w:rsidRPr="00EE4979">
              <w:rPr>
                <w:b/>
                <w:webHidden/>
              </w:rPr>
              <w:fldChar w:fldCharType="begin"/>
            </w:r>
            <w:r w:rsidR="00EE4979" w:rsidRPr="00EE4979">
              <w:rPr>
                <w:b/>
                <w:webHidden/>
              </w:rPr>
              <w:instrText xml:space="preserve"> PAGEREF _Toc144820050 \h </w:instrText>
            </w:r>
            <w:r w:rsidR="00EE4979" w:rsidRPr="00EE4979">
              <w:rPr>
                <w:b/>
                <w:webHidden/>
              </w:rPr>
            </w:r>
            <w:r w:rsidR="00EE4979" w:rsidRPr="00EE4979">
              <w:rPr>
                <w:b/>
                <w:webHidden/>
              </w:rPr>
              <w:fldChar w:fldCharType="separate"/>
            </w:r>
            <w:r w:rsidR="00301A90">
              <w:rPr>
                <w:b/>
                <w:webHidden/>
              </w:rPr>
              <w:t>44</w:t>
            </w:r>
            <w:r w:rsidR="00EE4979" w:rsidRPr="00EE4979">
              <w:rPr>
                <w:b/>
                <w:webHidden/>
              </w:rPr>
              <w:fldChar w:fldCharType="end"/>
            </w:r>
          </w:hyperlink>
        </w:p>
        <w:p w:rsidR="00EE4979" w:rsidRPr="00EE4979" w:rsidRDefault="0036558A">
          <w:pPr>
            <w:pStyle w:val="TOC1"/>
            <w:rPr>
              <w:rFonts w:eastAsiaTheme="minorEastAsia"/>
              <w:b/>
            </w:rPr>
          </w:pPr>
          <w:hyperlink w:anchor="_Toc144820051" w:history="1">
            <w:r w:rsidR="00EE4979" w:rsidRPr="00EE4979">
              <w:rPr>
                <w:rStyle w:val="Hyperlink"/>
                <w:b/>
              </w:rPr>
              <w:t>RESULTS AND DISCUSSIONS</w:t>
            </w:r>
            <w:r w:rsidR="00EE4979" w:rsidRPr="00EE4979">
              <w:rPr>
                <w:b/>
                <w:webHidden/>
              </w:rPr>
              <w:tab/>
            </w:r>
            <w:r w:rsidR="00EE4979" w:rsidRPr="00EE4979">
              <w:rPr>
                <w:b/>
                <w:webHidden/>
              </w:rPr>
              <w:fldChar w:fldCharType="begin"/>
            </w:r>
            <w:r w:rsidR="00EE4979" w:rsidRPr="00EE4979">
              <w:rPr>
                <w:b/>
                <w:webHidden/>
              </w:rPr>
              <w:instrText xml:space="preserve"> PAGEREF _Toc144820051 \h </w:instrText>
            </w:r>
            <w:r w:rsidR="00EE4979" w:rsidRPr="00EE4979">
              <w:rPr>
                <w:b/>
                <w:webHidden/>
              </w:rPr>
            </w:r>
            <w:r w:rsidR="00EE4979" w:rsidRPr="00EE4979">
              <w:rPr>
                <w:b/>
                <w:webHidden/>
              </w:rPr>
              <w:fldChar w:fldCharType="separate"/>
            </w:r>
            <w:r w:rsidR="00301A90">
              <w:rPr>
                <w:b/>
                <w:webHidden/>
              </w:rPr>
              <w:t>44</w:t>
            </w:r>
            <w:r w:rsidR="00EE4979" w:rsidRPr="00EE4979">
              <w:rPr>
                <w:b/>
                <w:webHidden/>
              </w:rPr>
              <w:fldChar w:fldCharType="end"/>
            </w:r>
          </w:hyperlink>
        </w:p>
        <w:p w:rsidR="00EE4979" w:rsidRPr="00EE4979" w:rsidRDefault="0036558A" w:rsidP="00EE4979">
          <w:pPr>
            <w:pStyle w:val="TOC2"/>
            <w:rPr>
              <w:rFonts w:eastAsiaTheme="minorEastAsia"/>
            </w:rPr>
          </w:pPr>
          <w:hyperlink w:anchor="_Toc144820052" w:history="1">
            <w:r w:rsidR="00EE4979" w:rsidRPr="00EE4979">
              <w:rPr>
                <w:rStyle w:val="Hyperlink"/>
                <w:b w:val="0"/>
              </w:rPr>
              <w:t>4.1 Introduction</w:t>
            </w:r>
            <w:r w:rsidR="00EE4979" w:rsidRPr="00EE4979">
              <w:rPr>
                <w:webHidden/>
              </w:rPr>
              <w:tab/>
            </w:r>
            <w:r w:rsidR="00EE4979" w:rsidRPr="00EE4979">
              <w:rPr>
                <w:webHidden/>
              </w:rPr>
              <w:fldChar w:fldCharType="begin"/>
            </w:r>
            <w:r w:rsidR="00EE4979" w:rsidRPr="00EE4979">
              <w:rPr>
                <w:webHidden/>
              </w:rPr>
              <w:instrText xml:space="preserve"> PAGEREF _Toc144820052 \h </w:instrText>
            </w:r>
            <w:r w:rsidR="00EE4979" w:rsidRPr="00EE4979">
              <w:rPr>
                <w:webHidden/>
              </w:rPr>
            </w:r>
            <w:r w:rsidR="00EE4979" w:rsidRPr="00EE4979">
              <w:rPr>
                <w:webHidden/>
              </w:rPr>
              <w:fldChar w:fldCharType="separate"/>
            </w:r>
            <w:r w:rsidR="00301A90">
              <w:rPr>
                <w:webHidden/>
              </w:rPr>
              <w:t>44</w:t>
            </w:r>
            <w:r w:rsidR="00EE4979" w:rsidRPr="00EE4979">
              <w:rPr>
                <w:webHidden/>
              </w:rPr>
              <w:fldChar w:fldCharType="end"/>
            </w:r>
          </w:hyperlink>
        </w:p>
        <w:p w:rsidR="00EE4979" w:rsidRPr="00EE4979" w:rsidRDefault="0036558A" w:rsidP="00EE4979">
          <w:pPr>
            <w:pStyle w:val="TOC2"/>
            <w:rPr>
              <w:rFonts w:eastAsiaTheme="minorEastAsia"/>
            </w:rPr>
          </w:pPr>
          <w:hyperlink w:anchor="_Toc144820053" w:history="1">
            <w:r w:rsidR="00EE4979" w:rsidRPr="00EE4979">
              <w:rPr>
                <w:rStyle w:val="Hyperlink"/>
                <w:b w:val="0"/>
              </w:rPr>
              <w:t>4.2 Method Validation</w:t>
            </w:r>
            <w:r w:rsidR="00EE4979" w:rsidRPr="00EE4979">
              <w:rPr>
                <w:webHidden/>
              </w:rPr>
              <w:tab/>
            </w:r>
            <w:r w:rsidR="00EE4979" w:rsidRPr="00EE4979">
              <w:rPr>
                <w:webHidden/>
              </w:rPr>
              <w:fldChar w:fldCharType="begin"/>
            </w:r>
            <w:r w:rsidR="00EE4979" w:rsidRPr="00EE4979">
              <w:rPr>
                <w:webHidden/>
              </w:rPr>
              <w:instrText xml:space="preserve"> PAGEREF _Toc144820053 \h </w:instrText>
            </w:r>
            <w:r w:rsidR="00EE4979" w:rsidRPr="00EE4979">
              <w:rPr>
                <w:webHidden/>
              </w:rPr>
            </w:r>
            <w:r w:rsidR="00EE4979" w:rsidRPr="00EE4979">
              <w:rPr>
                <w:webHidden/>
              </w:rPr>
              <w:fldChar w:fldCharType="separate"/>
            </w:r>
            <w:r w:rsidR="00301A90">
              <w:rPr>
                <w:webHidden/>
              </w:rPr>
              <w:t>44</w:t>
            </w:r>
            <w:r w:rsidR="00EE4979" w:rsidRPr="00EE4979">
              <w:rPr>
                <w:webHidden/>
              </w:rPr>
              <w:fldChar w:fldCharType="end"/>
            </w:r>
          </w:hyperlink>
        </w:p>
        <w:p w:rsidR="00EE4979" w:rsidRPr="00EE4979" w:rsidRDefault="0036558A" w:rsidP="00EE4979">
          <w:pPr>
            <w:pStyle w:val="TOC2"/>
            <w:rPr>
              <w:rFonts w:eastAsiaTheme="minorEastAsia"/>
            </w:rPr>
          </w:pPr>
          <w:hyperlink w:anchor="_Toc144820054" w:history="1">
            <w:r w:rsidR="00EE4979" w:rsidRPr="00EE4979">
              <w:rPr>
                <w:rStyle w:val="Hyperlink"/>
                <w:b w:val="0"/>
              </w:rPr>
              <w:t>4.3 Nanoparticle Characterization</w:t>
            </w:r>
            <w:r w:rsidR="00EE4979" w:rsidRPr="00EE4979">
              <w:rPr>
                <w:webHidden/>
              </w:rPr>
              <w:tab/>
            </w:r>
            <w:r w:rsidR="00EE4979" w:rsidRPr="00EE4979">
              <w:rPr>
                <w:webHidden/>
              </w:rPr>
              <w:fldChar w:fldCharType="begin"/>
            </w:r>
            <w:r w:rsidR="00EE4979" w:rsidRPr="00EE4979">
              <w:rPr>
                <w:webHidden/>
              </w:rPr>
              <w:instrText xml:space="preserve"> PAGEREF _Toc144820054 \h </w:instrText>
            </w:r>
            <w:r w:rsidR="00EE4979" w:rsidRPr="00EE4979">
              <w:rPr>
                <w:webHidden/>
              </w:rPr>
            </w:r>
            <w:r w:rsidR="00EE4979" w:rsidRPr="00EE4979">
              <w:rPr>
                <w:webHidden/>
              </w:rPr>
              <w:fldChar w:fldCharType="separate"/>
            </w:r>
            <w:r w:rsidR="00301A90">
              <w:rPr>
                <w:webHidden/>
              </w:rPr>
              <w:t>45</w:t>
            </w:r>
            <w:r w:rsidR="00EE4979" w:rsidRPr="00EE4979">
              <w:rPr>
                <w:webHidden/>
              </w:rPr>
              <w:fldChar w:fldCharType="end"/>
            </w:r>
          </w:hyperlink>
        </w:p>
        <w:p w:rsidR="00EE4979" w:rsidRPr="00EE4979" w:rsidRDefault="0036558A" w:rsidP="00EE4979">
          <w:pPr>
            <w:pStyle w:val="TOC3"/>
            <w:rPr>
              <w:rFonts w:eastAsiaTheme="minorEastAsia"/>
            </w:rPr>
          </w:pPr>
          <w:hyperlink w:anchor="_Toc144820055" w:history="1">
            <w:r w:rsidR="00EE4979" w:rsidRPr="00EE4979">
              <w:rPr>
                <w:rStyle w:val="Hyperlink"/>
              </w:rPr>
              <w:t>4.3.1 SEM Analysis</w:t>
            </w:r>
            <w:r w:rsidR="00EE4979" w:rsidRPr="00EE4979">
              <w:rPr>
                <w:webHidden/>
              </w:rPr>
              <w:tab/>
            </w:r>
            <w:r w:rsidR="00EE4979" w:rsidRPr="00EE4979">
              <w:rPr>
                <w:webHidden/>
              </w:rPr>
              <w:fldChar w:fldCharType="begin"/>
            </w:r>
            <w:r w:rsidR="00EE4979" w:rsidRPr="00EE4979">
              <w:rPr>
                <w:webHidden/>
              </w:rPr>
              <w:instrText xml:space="preserve"> PAGEREF _Toc144820055 \h </w:instrText>
            </w:r>
            <w:r w:rsidR="00EE4979" w:rsidRPr="00EE4979">
              <w:rPr>
                <w:webHidden/>
              </w:rPr>
            </w:r>
            <w:r w:rsidR="00EE4979" w:rsidRPr="00EE4979">
              <w:rPr>
                <w:webHidden/>
              </w:rPr>
              <w:fldChar w:fldCharType="separate"/>
            </w:r>
            <w:r w:rsidR="00301A90">
              <w:rPr>
                <w:webHidden/>
              </w:rPr>
              <w:t>45</w:t>
            </w:r>
            <w:r w:rsidR="00EE4979" w:rsidRPr="00EE4979">
              <w:rPr>
                <w:webHidden/>
              </w:rPr>
              <w:fldChar w:fldCharType="end"/>
            </w:r>
          </w:hyperlink>
        </w:p>
        <w:p w:rsidR="00EE4979" w:rsidRPr="00EE4979" w:rsidRDefault="0036558A" w:rsidP="00EE4979">
          <w:pPr>
            <w:pStyle w:val="TOC3"/>
            <w:rPr>
              <w:rFonts w:eastAsiaTheme="minorEastAsia"/>
            </w:rPr>
          </w:pPr>
          <w:hyperlink w:anchor="_Toc144820056" w:history="1">
            <w:r w:rsidR="00EE4979" w:rsidRPr="00EE4979">
              <w:rPr>
                <w:rStyle w:val="Hyperlink"/>
              </w:rPr>
              <w:t>4.3.2 XRD Analysis</w:t>
            </w:r>
            <w:r w:rsidR="00EE4979" w:rsidRPr="00EE4979">
              <w:rPr>
                <w:webHidden/>
              </w:rPr>
              <w:tab/>
            </w:r>
            <w:r w:rsidR="00EE4979" w:rsidRPr="00EE4979">
              <w:rPr>
                <w:webHidden/>
              </w:rPr>
              <w:fldChar w:fldCharType="begin"/>
            </w:r>
            <w:r w:rsidR="00EE4979" w:rsidRPr="00EE4979">
              <w:rPr>
                <w:webHidden/>
              </w:rPr>
              <w:instrText xml:space="preserve"> PAGEREF _Toc144820056 \h </w:instrText>
            </w:r>
            <w:r w:rsidR="00EE4979" w:rsidRPr="00EE4979">
              <w:rPr>
                <w:webHidden/>
              </w:rPr>
            </w:r>
            <w:r w:rsidR="00EE4979" w:rsidRPr="00EE4979">
              <w:rPr>
                <w:webHidden/>
              </w:rPr>
              <w:fldChar w:fldCharType="separate"/>
            </w:r>
            <w:r w:rsidR="00301A90">
              <w:rPr>
                <w:webHidden/>
              </w:rPr>
              <w:t>47</w:t>
            </w:r>
            <w:r w:rsidR="00EE4979" w:rsidRPr="00EE4979">
              <w:rPr>
                <w:webHidden/>
              </w:rPr>
              <w:fldChar w:fldCharType="end"/>
            </w:r>
          </w:hyperlink>
        </w:p>
        <w:p w:rsidR="00EE4979" w:rsidRPr="00EE4979" w:rsidRDefault="0036558A" w:rsidP="00EE4979">
          <w:pPr>
            <w:pStyle w:val="TOC3"/>
            <w:rPr>
              <w:rFonts w:eastAsiaTheme="minorEastAsia"/>
            </w:rPr>
          </w:pPr>
          <w:hyperlink w:anchor="_Toc144820057" w:history="1">
            <w:r w:rsidR="00EE4979" w:rsidRPr="00EE4979">
              <w:rPr>
                <w:rStyle w:val="Hyperlink"/>
              </w:rPr>
              <w:t>4.3.3 FTIR Analysis</w:t>
            </w:r>
            <w:r w:rsidR="00EE4979" w:rsidRPr="00EE4979">
              <w:rPr>
                <w:webHidden/>
              </w:rPr>
              <w:tab/>
            </w:r>
            <w:r w:rsidR="00EE4979" w:rsidRPr="00EE4979">
              <w:rPr>
                <w:webHidden/>
              </w:rPr>
              <w:fldChar w:fldCharType="begin"/>
            </w:r>
            <w:r w:rsidR="00EE4979" w:rsidRPr="00EE4979">
              <w:rPr>
                <w:webHidden/>
              </w:rPr>
              <w:instrText xml:space="preserve"> PAGEREF _Toc144820057 \h </w:instrText>
            </w:r>
            <w:r w:rsidR="00EE4979" w:rsidRPr="00EE4979">
              <w:rPr>
                <w:webHidden/>
              </w:rPr>
            </w:r>
            <w:r w:rsidR="00EE4979" w:rsidRPr="00EE4979">
              <w:rPr>
                <w:webHidden/>
              </w:rPr>
              <w:fldChar w:fldCharType="separate"/>
            </w:r>
            <w:r w:rsidR="00301A90">
              <w:rPr>
                <w:webHidden/>
              </w:rPr>
              <w:t>50</w:t>
            </w:r>
            <w:r w:rsidR="00EE4979" w:rsidRPr="00EE4979">
              <w:rPr>
                <w:webHidden/>
              </w:rPr>
              <w:fldChar w:fldCharType="end"/>
            </w:r>
          </w:hyperlink>
        </w:p>
        <w:p w:rsidR="00EE4979" w:rsidRPr="00EE4979" w:rsidRDefault="0036558A" w:rsidP="00EE4979">
          <w:pPr>
            <w:pStyle w:val="TOC2"/>
            <w:rPr>
              <w:rFonts w:eastAsiaTheme="minorEastAsia"/>
            </w:rPr>
          </w:pPr>
          <w:hyperlink w:anchor="_Toc144820058" w:history="1">
            <w:r w:rsidR="00EE4979" w:rsidRPr="00EE4979">
              <w:rPr>
                <w:rStyle w:val="Hyperlink"/>
                <w:b w:val="0"/>
                <w:lang w:val="sw-KE" w:eastAsia="sw-KE"/>
              </w:rPr>
              <w:t>4.4 Cadmium and Lead Uptake</w:t>
            </w:r>
            <w:r w:rsidR="00EE4979" w:rsidRPr="00EE4979">
              <w:rPr>
                <w:webHidden/>
              </w:rPr>
              <w:tab/>
            </w:r>
            <w:r w:rsidR="00EE4979" w:rsidRPr="00EE4979">
              <w:rPr>
                <w:webHidden/>
              </w:rPr>
              <w:fldChar w:fldCharType="begin"/>
            </w:r>
            <w:r w:rsidR="00EE4979" w:rsidRPr="00EE4979">
              <w:rPr>
                <w:webHidden/>
              </w:rPr>
              <w:instrText xml:space="preserve"> PAGEREF _Toc144820058 \h </w:instrText>
            </w:r>
            <w:r w:rsidR="00EE4979" w:rsidRPr="00EE4979">
              <w:rPr>
                <w:webHidden/>
              </w:rPr>
            </w:r>
            <w:r w:rsidR="00EE4979" w:rsidRPr="00EE4979">
              <w:rPr>
                <w:webHidden/>
              </w:rPr>
              <w:fldChar w:fldCharType="separate"/>
            </w:r>
            <w:r w:rsidR="00301A90">
              <w:rPr>
                <w:webHidden/>
              </w:rPr>
              <w:t>53</w:t>
            </w:r>
            <w:r w:rsidR="00EE4979" w:rsidRPr="00EE4979">
              <w:rPr>
                <w:webHidden/>
              </w:rPr>
              <w:fldChar w:fldCharType="end"/>
            </w:r>
          </w:hyperlink>
        </w:p>
        <w:p w:rsidR="00EE4979" w:rsidRPr="00EE4979" w:rsidRDefault="0036558A" w:rsidP="00EE4979">
          <w:pPr>
            <w:pStyle w:val="TOC3"/>
            <w:rPr>
              <w:rFonts w:eastAsiaTheme="minorEastAsia"/>
            </w:rPr>
          </w:pPr>
          <w:hyperlink w:anchor="_Toc144820059" w:history="1">
            <w:r w:rsidR="00EE4979" w:rsidRPr="00EE4979">
              <w:rPr>
                <w:rStyle w:val="Hyperlink"/>
                <w:lang w:val="sw-KE" w:eastAsia="sw-KE"/>
              </w:rPr>
              <w:t xml:space="preserve">4.4.1 </w:t>
            </w:r>
            <w:r w:rsidR="00EE4979" w:rsidRPr="00EE4979">
              <w:rPr>
                <w:rStyle w:val="Hyperlink"/>
              </w:rPr>
              <w:t>Uptake Levels of Cd in Crops Grown Using Nano-fertilizers</w:t>
            </w:r>
            <w:r w:rsidR="00EE4979" w:rsidRPr="00EE4979">
              <w:rPr>
                <w:webHidden/>
              </w:rPr>
              <w:tab/>
            </w:r>
            <w:r w:rsidR="00EE4979" w:rsidRPr="00EE4979">
              <w:rPr>
                <w:webHidden/>
              </w:rPr>
              <w:fldChar w:fldCharType="begin"/>
            </w:r>
            <w:r w:rsidR="00EE4979" w:rsidRPr="00EE4979">
              <w:rPr>
                <w:webHidden/>
              </w:rPr>
              <w:instrText xml:space="preserve"> PAGEREF _Toc144820059 \h </w:instrText>
            </w:r>
            <w:r w:rsidR="00EE4979" w:rsidRPr="00EE4979">
              <w:rPr>
                <w:webHidden/>
              </w:rPr>
            </w:r>
            <w:r w:rsidR="00EE4979" w:rsidRPr="00EE4979">
              <w:rPr>
                <w:webHidden/>
              </w:rPr>
              <w:fldChar w:fldCharType="separate"/>
            </w:r>
            <w:r w:rsidR="00301A90">
              <w:rPr>
                <w:webHidden/>
              </w:rPr>
              <w:t>53</w:t>
            </w:r>
            <w:r w:rsidR="00EE4979" w:rsidRPr="00EE4979">
              <w:rPr>
                <w:webHidden/>
              </w:rPr>
              <w:fldChar w:fldCharType="end"/>
            </w:r>
          </w:hyperlink>
        </w:p>
        <w:p w:rsidR="00EE4979" w:rsidRPr="00EE4979" w:rsidRDefault="0036558A" w:rsidP="00EE4979">
          <w:pPr>
            <w:pStyle w:val="TOC3"/>
            <w:rPr>
              <w:rFonts w:eastAsiaTheme="minorEastAsia"/>
            </w:rPr>
          </w:pPr>
          <w:hyperlink w:anchor="_Toc144820060" w:history="1">
            <w:r w:rsidR="00EE4979" w:rsidRPr="00EE4979">
              <w:rPr>
                <w:rStyle w:val="Hyperlink"/>
                <w:lang w:val="sw-KE" w:eastAsia="sw-KE"/>
              </w:rPr>
              <w:t xml:space="preserve">4.4.2 </w:t>
            </w:r>
            <w:r w:rsidR="00EE4979" w:rsidRPr="00EE4979">
              <w:rPr>
                <w:rStyle w:val="Hyperlink"/>
              </w:rPr>
              <w:t>Uptake Levels of Pb in Plant Leaves Grown Using Nano-fertilizers</w:t>
            </w:r>
            <w:r w:rsidR="00EE4979" w:rsidRPr="00EE4979">
              <w:rPr>
                <w:webHidden/>
              </w:rPr>
              <w:tab/>
            </w:r>
            <w:r w:rsidR="00EE4979" w:rsidRPr="00EE4979">
              <w:rPr>
                <w:webHidden/>
              </w:rPr>
              <w:fldChar w:fldCharType="begin"/>
            </w:r>
            <w:r w:rsidR="00EE4979" w:rsidRPr="00EE4979">
              <w:rPr>
                <w:webHidden/>
              </w:rPr>
              <w:instrText xml:space="preserve"> PAGEREF _Toc144820060 \h </w:instrText>
            </w:r>
            <w:r w:rsidR="00EE4979" w:rsidRPr="00EE4979">
              <w:rPr>
                <w:webHidden/>
              </w:rPr>
            </w:r>
            <w:r w:rsidR="00EE4979" w:rsidRPr="00EE4979">
              <w:rPr>
                <w:webHidden/>
              </w:rPr>
              <w:fldChar w:fldCharType="separate"/>
            </w:r>
            <w:r w:rsidR="00301A90">
              <w:rPr>
                <w:webHidden/>
              </w:rPr>
              <w:t>60</w:t>
            </w:r>
            <w:r w:rsidR="00EE4979" w:rsidRPr="00EE4979">
              <w:rPr>
                <w:webHidden/>
              </w:rPr>
              <w:fldChar w:fldCharType="end"/>
            </w:r>
          </w:hyperlink>
        </w:p>
        <w:p w:rsidR="00EE4979" w:rsidRPr="00EE4979" w:rsidRDefault="0036558A" w:rsidP="00EE4979">
          <w:pPr>
            <w:pStyle w:val="TOC2"/>
            <w:rPr>
              <w:rFonts w:eastAsiaTheme="minorEastAsia"/>
            </w:rPr>
          </w:pPr>
          <w:hyperlink w:anchor="_Toc144820061" w:history="1">
            <w:r w:rsidR="00EE4979" w:rsidRPr="00EE4979">
              <w:rPr>
                <w:rStyle w:val="Hyperlink"/>
                <w:b w:val="0"/>
              </w:rPr>
              <w:t>4.5 Growth Performance of Crops Grown Using Nano-fertilizers</w:t>
            </w:r>
            <w:r w:rsidR="00EE4979" w:rsidRPr="00EE4979">
              <w:rPr>
                <w:webHidden/>
              </w:rPr>
              <w:tab/>
            </w:r>
            <w:r w:rsidR="00EE4979" w:rsidRPr="00EE4979">
              <w:rPr>
                <w:webHidden/>
              </w:rPr>
              <w:fldChar w:fldCharType="begin"/>
            </w:r>
            <w:r w:rsidR="00EE4979" w:rsidRPr="00EE4979">
              <w:rPr>
                <w:webHidden/>
              </w:rPr>
              <w:instrText xml:space="preserve"> PAGEREF _Toc144820061 \h </w:instrText>
            </w:r>
            <w:r w:rsidR="00EE4979" w:rsidRPr="00EE4979">
              <w:rPr>
                <w:webHidden/>
              </w:rPr>
            </w:r>
            <w:r w:rsidR="00EE4979" w:rsidRPr="00EE4979">
              <w:rPr>
                <w:webHidden/>
              </w:rPr>
              <w:fldChar w:fldCharType="separate"/>
            </w:r>
            <w:r w:rsidR="00301A90">
              <w:rPr>
                <w:webHidden/>
              </w:rPr>
              <w:t>65</w:t>
            </w:r>
            <w:r w:rsidR="00EE4979" w:rsidRPr="00EE4979">
              <w:rPr>
                <w:webHidden/>
              </w:rPr>
              <w:fldChar w:fldCharType="end"/>
            </w:r>
          </w:hyperlink>
        </w:p>
        <w:p w:rsidR="00EE4979" w:rsidRPr="00EE4979" w:rsidRDefault="0036558A" w:rsidP="00EE4979">
          <w:pPr>
            <w:pStyle w:val="TOC3"/>
            <w:rPr>
              <w:rFonts w:eastAsiaTheme="minorEastAsia"/>
            </w:rPr>
          </w:pPr>
          <w:hyperlink w:anchor="_Toc144820062" w:history="1">
            <w:r w:rsidR="00EE4979" w:rsidRPr="00EE4979">
              <w:rPr>
                <w:rStyle w:val="Hyperlink"/>
              </w:rPr>
              <w:t>4.5.1 Plant Height Growth Performance</w:t>
            </w:r>
            <w:r w:rsidR="00EE4979" w:rsidRPr="00EE4979">
              <w:rPr>
                <w:webHidden/>
              </w:rPr>
              <w:tab/>
            </w:r>
            <w:r w:rsidR="00EE4979" w:rsidRPr="00EE4979">
              <w:rPr>
                <w:webHidden/>
              </w:rPr>
              <w:fldChar w:fldCharType="begin"/>
            </w:r>
            <w:r w:rsidR="00EE4979" w:rsidRPr="00EE4979">
              <w:rPr>
                <w:webHidden/>
              </w:rPr>
              <w:instrText xml:space="preserve"> PAGEREF _Toc144820062 \h </w:instrText>
            </w:r>
            <w:r w:rsidR="00EE4979" w:rsidRPr="00EE4979">
              <w:rPr>
                <w:webHidden/>
              </w:rPr>
            </w:r>
            <w:r w:rsidR="00EE4979" w:rsidRPr="00EE4979">
              <w:rPr>
                <w:webHidden/>
              </w:rPr>
              <w:fldChar w:fldCharType="separate"/>
            </w:r>
            <w:r w:rsidR="00301A90">
              <w:rPr>
                <w:webHidden/>
              </w:rPr>
              <w:t>65</w:t>
            </w:r>
            <w:r w:rsidR="00EE4979" w:rsidRPr="00EE4979">
              <w:rPr>
                <w:webHidden/>
              </w:rPr>
              <w:fldChar w:fldCharType="end"/>
            </w:r>
          </w:hyperlink>
        </w:p>
        <w:p w:rsidR="00EE4979" w:rsidRPr="00EE4979" w:rsidRDefault="0036558A" w:rsidP="00EE4979">
          <w:pPr>
            <w:pStyle w:val="TOC3"/>
            <w:rPr>
              <w:rFonts w:eastAsiaTheme="minorEastAsia"/>
            </w:rPr>
          </w:pPr>
          <w:hyperlink w:anchor="_Toc144820063" w:history="1">
            <w:r w:rsidR="00EE4979" w:rsidRPr="00EE4979">
              <w:rPr>
                <w:rStyle w:val="Hyperlink"/>
              </w:rPr>
              <w:t>4.5.2 Dry Weight, Leaf Diameter and Plant Number of Leaves</w:t>
            </w:r>
            <w:r w:rsidR="00EE4979" w:rsidRPr="00EE4979">
              <w:rPr>
                <w:webHidden/>
              </w:rPr>
              <w:tab/>
            </w:r>
            <w:r w:rsidR="00EE4979" w:rsidRPr="00EE4979">
              <w:rPr>
                <w:webHidden/>
              </w:rPr>
              <w:fldChar w:fldCharType="begin"/>
            </w:r>
            <w:r w:rsidR="00EE4979" w:rsidRPr="00EE4979">
              <w:rPr>
                <w:webHidden/>
              </w:rPr>
              <w:instrText xml:space="preserve"> PAGEREF _Toc144820063 \h </w:instrText>
            </w:r>
            <w:r w:rsidR="00EE4979" w:rsidRPr="00EE4979">
              <w:rPr>
                <w:webHidden/>
              </w:rPr>
            </w:r>
            <w:r w:rsidR="00EE4979" w:rsidRPr="00EE4979">
              <w:rPr>
                <w:webHidden/>
              </w:rPr>
              <w:fldChar w:fldCharType="separate"/>
            </w:r>
            <w:r w:rsidR="00301A90">
              <w:rPr>
                <w:webHidden/>
              </w:rPr>
              <w:t>70</w:t>
            </w:r>
            <w:r w:rsidR="00EE4979" w:rsidRPr="00EE4979">
              <w:rPr>
                <w:webHidden/>
              </w:rPr>
              <w:fldChar w:fldCharType="end"/>
            </w:r>
          </w:hyperlink>
        </w:p>
        <w:p w:rsidR="00EE4979" w:rsidRPr="00EE4979" w:rsidRDefault="0036558A" w:rsidP="00EE4979">
          <w:pPr>
            <w:pStyle w:val="TOC2"/>
            <w:rPr>
              <w:rFonts w:eastAsiaTheme="minorEastAsia"/>
            </w:rPr>
          </w:pPr>
          <w:hyperlink w:anchor="_Toc144820064" w:history="1">
            <w:r w:rsidR="00EE4979" w:rsidRPr="00EE4979">
              <w:rPr>
                <w:rStyle w:val="Hyperlink"/>
                <w:b w:val="0"/>
              </w:rPr>
              <w:t>4.6 Effects of Experimental Conditions on Adsorption of Metal</w:t>
            </w:r>
            <w:r w:rsidR="00EE4979" w:rsidRPr="00EE4979">
              <w:rPr>
                <w:webHidden/>
              </w:rPr>
              <w:tab/>
            </w:r>
            <w:r w:rsidR="00EE4979" w:rsidRPr="00EE4979">
              <w:rPr>
                <w:webHidden/>
              </w:rPr>
              <w:fldChar w:fldCharType="begin"/>
            </w:r>
            <w:r w:rsidR="00EE4979" w:rsidRPr="00EE4979">
              <w:rPr>
                <w:webHidden/>
              </w:rPr>
              <w:instrText xml:space="preserve"> PAGEREF _Toc144820064 \h </w:instrText>
            </w:r>
            <w:r w:rsidR="00EE4979" w:rsidRPr="00EE4979">
              <w:rPr>
                <w:webHidden/>
              </w:rPr>
            </w:r>
            <w:r w:rsidR="00EE4979" w:rsidRPr="00EE4979">
              <w:rPr>
                <w:webHidden/>
              </w:rPr>
              <w:fldChar w:fldCharType="separate"/>
            </w:r>
            <w:r w:rsidR="00301A90">
              <w:rPr>
                <w:webHidden/>
              </w:rPr>
              <w:t>75</w:t>
            </w:r>
            <w:r w:rsidR="00EE4979" w:rsidRPr="00EE4979">
              <w:rPr>
                <w:webHidden/>
              </w:rPr>
              <w:fldChar w:fldCharType="end"/>
            </w:r>
          </w:hyperlink>
        </w:p>
        <w:p w:rsidR="00EE4979" w:rsidRPr="00EE4979" w:rsidRDefault="0036558A" w:rsidP="00EE4979">
          <w:pPr>
            <w:pStyle w:val="TOC3"/>
            <w:rPr>
              <w:rFonts w:eastAsiaTheme="minorEastAsia"/>
            </w:rPr>
          </w:pPr>
          <w:hyperlink w:anchor="_Toc144820065" w:history="1">
            <w:r w:rsidR="00EE4979" w:rsidRPr="00EE4979">
              <w:rPr>
                <w:rStyle w:val="Hyperlink"/>
              </w:rPr>
              <w:t>4.6.1 Effect of Initial pH on Removal of Metal ion by Nanofertilizers</w:t>
            </w:r>
            <w:r w:rsidR="00EE4979" w:rsidRPr="00EE4979">
              <w:rPr>
                <w:webHidden/>
              </w:rPr>
              <w:tab/>
            </w:r>
            <w:r w:rsidR="00EE4979" w:rsidRPr="00EE4979">
              <w:rPr>
                <w:webHidden/>
              </w:rPr>
              <w:fldChar w:fldCharType="begin"/>
            </w:r>
            <w:r w:rsidR="00EE4979" w:rsidRPr="00EE4979">
              <w:rPr>
                <w:webHidden/>
              </w:rPr>
              <w:instrText xml:space="preserve"> PAGEREF _Toc144820065 \h </w:instrText>
            </w:r>
            <w:r w:rsidR="00EE4979" w:rsidRPr="00EE4979">
              <w:rPr>
                <w:webHidden/>
              </w:rPr>
            </w:r>
            <w:r w:rsidR="00EE4979" w:rsidRPr="00EE4979">
              <w:rPr>
                <w:webHidden/>
              </w:rPr>
              <w:fldChar w:fldCharType="separate"/>
            </w:r>
            <w:r w:rsidR="00301A90">
              <w:rPr>
                <w:webHidden/>
              </w:rPr>
              <w:t>75</w:t>
            </w:r>
            <w:r w:rsidR="00EE4979" w:rsidRPr="00EE4979">
              <w:rPr>
                <w:webHidden/>
              </w:rPr>
              <w:fldChar w:fldCharType="end"/>
            </w:r>
          </w:hyperlink>
        </w:p>
        <w:p w:rsidR="00EE4979" w:rsidRPr="00EE4979" w:rsidRDefault="0036558A" w:rsidP="00EE4979">
          <w:pPr>
            <w:pStyle w:val="TOC3"/>
            <w:rPr>
              <w:rFonts w:eastAsiaTheme="minorEastAsia"/>
            </w:rPr>
          </w:pPr>
          <w:hyperlink w:anchor="_Toc144820066" w:history="1">
            <w:r w:rsidR="00EE4979" w:rsidRPr="00EE4979">
              <w:rPr>
                <w:rStyle w:val="Hyperlink"/>
              </w:rPr>
              <w:t>4.6.2 Effect of Nano-adsorbent Dose on Removal of Metal by Nanofertilizers</w:t>
            </w:r>
            <w:r w:rsidR="00EE4979" w:rsidRPr="00EE4979">
              <w:rPr>
                <w:webHidden/>
              </w:rPr>
              <w:tab/>
            </w:r>
            <w:r w:rsidR="00EE4979" w:rsidRPr="00EE4979">
              <w:rPr>
                <w:webHidden/>
              </w:rPr>
              <w:fldChar w:fldCharType="begin"/>
            </w:r>
            <w:r w:rsidR="00EE4979" w:rsidRPr="00EE4979">
              <w:rPr>
                <w:webHidden/>
              </w:rPr>
              <w:instrText xml:space="preserve"> PAGEREF _Toc144820066 \h </w:instrText>
            </w:r>
            <w:r w:rsidR="00EE4979" w:rsidRPr="00EE4979">
              <w:rPr>
                <w:webHidden/>
              </w:rPr>
            </w:r>
            <w:r w:rsidR="00EE4979" w:rsidRPr="00EE4979">
              <w:rPr>
                <w:webHidden/>
              </w:rPr>
              <w:fldChar w:fldCharType="separate"/>
            </w:r>
            <w:r w:rsidR="00301A90">
              <w:rPr>
                <w:webHidden/>
              </w:rPr>
              <w:t>76</w:t>
            </w:r>
            <w:r w:rsidR="00EE4979" w:rsidRPr="00EE4979">
              <w:rPr>
                <w:webHidden/>
              </w:rPr>
              <w:fldChar w:fldCharType="end"/>
            </w:r>
          </w:hyperlink>
        </w:p>
        <w:p w:rsidR="00EE4979" w:rsidRPr="00EE4979" w:rsidRDefault="0036558A" w:rsidP="00EE4979">
          <w:pPr>
            <w:pStyle w:val="TOC3"/>
            <w:rPr>
              <w:rFonts w:eastAsiaTheme="minorEastAsia"/>
            </w:rPr>
          </w:pPr>
          <w:hyperlink w:anchor="_Toc144820067" w:history="1">
            <w:r w:rsidR="00EE4979" w:rsidRPr="00EE4979">
              <w:rPr>
                <w:rStyle w:val="Hyperlink"/>
              </w:rPr>
              <w:t>4.6.3 Effect of Initial Metal Concentration on Adsorption by Nanofertilizers</w:t>
            </w:r>
            <w:r w:rsidR="00EE4979" w:rsidRPr="00EE4979">
              <w:rPr>
                <w:webHidden/>
              </w:rPr>
              <w:tab/>
            </w:r>
            <w:r w:rsidR="00EE4979" w:rsidRPr="00EE4979">
              <w:rPr>
                <w:webHidden/>
              </w:rPr>
              <w:fldChar w:fldCharType="begin"/>
            </w:r>
            <w:r w:rsidR="00EE4979" w:rsidRPr="00EE4979">
              <w:rPr>
                <w:webHidden/>
              </w:rPr>
              <w:instrText xml:space="preserve"> PAGEREF _Toc144820067 \h </w:instrText>
            </w:r>
            <w:r w:rsidR="00EE4979" w:rsidRPr="00EE4979">
              <w:rPr>
                <w:webHidden/>
              </w:rPr>
            </w:r>
            <w:r w:rsidR="00EE4979" w:rsidRPr="00EE4979">
              <w:rPr>
                <w:webHidden/>
              </w:rPr>
              <w:fldChar w:fldCharType="separate"/>
            </w:r>
            <w:r w:rsidR="00301A90">
              <w:rPr>
                <w:webHidden/>
              </w:rPr>
              <w:t>77</w:t>
            </w:r>
            <w:r w:rsidR="00EE4979" w:rsidRPr="00EE4979">
              <w:rPr>
                <w:webHidden/>
              </w:rPr>
              <w:fldChar w:fldCharType="end"/>
            </w:r>
          </w:hyperlink>
        </w:p>
        <w:p w:rsidR="00EE4979" w:rsidRPr="00EE4979" w:rsidRDefault="0036558A" w:rsidP="00EE4979">
          <w:pPr>
            <w:pStyle w:val="TOC3"/>
            <w:rPr>
              <w:rFonts w:eastAsiaTheme="minorEastAsia"/>
            </w:rPr>
          </w:pPr>
          <w:hyperlink w:anchor="_Toc144820068" w:history="1">
            <w:r w:rsidR="00EE4979" w:rsidRPr="00EE4979">
              <w:rPr>
                <w:rStyle w:val="Hyperlink"/>
              </w:rPr>
              <w:t xml:space="preserve">4.6.4 </w:t>
            </w:r>
            <w:r w:rsidR="00EE4979" w:rsidRPr="00EE4979">
              <w:rPr>
                <w:rStyle w:val="Hyperlink"/>
                <w:iCs/>
              </w:rPr>
              <w:t>Effect of Contact Time</w:t>
            </w:r>
            <w:r w:rsidR="00EE4979" w:rsidRPr="00EE4979">
              <w:rPr>
                <w:rStyle w:val="Hyperlink"/>
              </w:rPr>
              <w:t xml:space="preserve"> on Adsorption of Metal by Nanofertilizers</w:t>
            </w:r>
            <w:r w:rsidR="00EE4979" w:rsidRPr="00EE4979">
              <w:rPr>
                <w:webHidden/>
              </w:rPr>
              <w:tab/>
            </w:r>
            <w:r w:rsidR="00EE4979" w:rsidRPr="00EE4979">
              <w:rPr>
                <w:webHidden/>
              </w:rPr>
              <w:fldChar w:fldCharType="begin"/>
            </w:r>
            <w:r w:rsidR="00EE4979" w:rsidRPr="00EE4979">
              <w:rPr>
                <w:webHidden/>
              </w:rPr>
              <w:instrText xml:space="preserve"> PAGEREF _Toc144820068 \h </w:instrText>
            </w:r>
            <w:r w:rsidR="00EE4979" w:rsidRPr="00EE4979">
              <w:rPr>
                <w:webHidden/>
              </w:rPr>
            </w:r>
            <w:r w:rsidR="00EE4979" w:rsidRPr="00EE4979">
              <w:rPr>
                <w:webHidden/>
              </w:rPr>
              <w:fldChar w:fldCharType="separate"/>
            </w:r>
            <w:r w:rsidR="00301A90">
              <w:rPr>
                <w:webHidden/>
              </w:rPr>
              <w:t>78</w:t>
            </w:r>
            <w:r w:rsidR="00EE4979" w:rsidRPr="00EE4979">
              <w:rPr>
                <w:webHidden/>
              </w:rPr>
              <w:fldChar w:fldCharType="end"/>
            </w:r>
          </w:hyperlink>
        </w:p>
        <w:p w:rsidR="00EE4979" w:rsidRPr="00EE4979" w:rsidRDefault="0036558A" w:rsidP="00EE4979">
          <w:pPr>
            <w:pStyle w:val="TOC2"/>
            <w:rPr>
              <w:rFonts w:eastAsiaTheme="minorEastAsia"/>
            </w:rPr>
          </w:pPr>
          <w:hyperlink w:anchor="_Toc144820069" w:history="1">
            <w:r w:rsidR="00EE4979" w:rsidRPr="00EE4979">
              <w:rPr>
                <w:rStyle w:val="Hyperlink"/>
                <w:b w:val="0"/>
              </w:rPr>
              <w:t>4.7 Adsorption Isotherms after Optimization</w:t>
            </w:r>
            <w:r w:rsidR="00EE4979" w:rsidRPr="00EE4979">
              <w:rPr>
                <w:webHidden/>
              </w:rPr>
              <w:tab/>
            </w:r>
            <w:r w:rsidR="00EE4979" w:rsidRPr="00EE4979">
              <w:rPr>
                <w:webHidden/>
              </w:rPr>
              <w:fldChar w:fldCharType="begin"/>
            </w:r>
            <w:r w:rsidR="00EE4979" w:rsidRPr="00EE4979">
              <w:rPr>
                <w:webHidden/>
              </w:rPr>
              <w:instrText xml:space="preserve"> PAGEREF _Toc144820069 \h </w:instrText>
            </w:r>
            <w:r w:rsidR="00EE4979" w:rsidRPr="00EE4979">
              <w:rPr>
                <w:webHidden/>
              </w:rPr>
            </w:r>
            <w:r w:rsidR="00EE4979" w:rsidRPr="00EE4979">
              <w:rPr>
                <w:webHidden/>
              </w:rPr>
              <w:fldChar w:fldCharType="separate"/>
            </w:r>
            <w:r w:rsidR="00301A90">
              <w:rPr>
                <w:webHidden/>
              </w:rPr>
              <w:t>79</w:t>
            </w:r>
            <w:r w:rsidR="00EE4979" w:rsidRPr="00EE4979">
              <w:rPr>
                <w:webHidden/>
              </w:rPr>
              <w:fldChar w:fldCharType="end"/>
            </w:r>
          </w:hyperlink>
        </w:p>
        <w:p w:rsidR="00EE4979" w:rsidRPr="00EE4979" w:rsidRDefault="0036558A" w:rsidP="00EE4979">
          <w:pPr>
            <w:pStyle w:val="TOC2"/>
            <w:rPr>
              <w:rFonts w:eastAsiaTheme="minorEastAsia"/>
            </w:rPr>
          </w:pPr>
          <w:hyperlink w:anchor="_Toc144820070" w:history="1">
            <w:r w:rsidR="00EE4979" w:rsidRPr="00EE4979">
              <w:rPr>
                <w:rStyle w:val="Hyperlink"/>
                <w:b w:val="0"/>
              </w:rPr>
              <w:t>4.8 Adsorption Isotherms Fitting for Cadmium and Lead</w:t>
            </w:r>
            <w:r w:rsidR="00EE4979" w:rsidRPr="00EE4979">
              <w:rPr>
                <w:webHidden/>
              </w:rPr>
              <w:tab/>
            </w:r>
            <w:r w:rsidR="00EE4979" w:rsidRPr="00EE4979">
              <w:rPr>
                <w:webHidden/>
              </w:rPr>
              <w:fldChar w:fldCharType="begin"/>
            </w:r>
            <w:r w:rsidR="00EE4979" w:rsidRPr="00EE4979">
              <w:rPr>
                <w:webHidden/>
              </w:rPr>
              <w:instrText xml:space="preserve"> PAGEREF _Toc144820070 \h </w:instrText>
            </w:r>
            <w:r w:rsidR="00EE4979" w:rsidRPr="00EE4979">
              <w:rPr>
                <w:webHidden/>
              </w:rPr>
            </w:r>
            <w:r w:rsidR="00EE4979" w:rsidRPr="00EE4979">
              <w:rPr>
                <w:webHidden/>
              </w:rPr>
              <w:fldChar w:fldCharType="separate"/>
            </w:r>
            <w:r w:rsidR="00301A90">
              <w:rPr>
                <w:webHidden/>
              </w:rPr>
              <w:t>80</w:t>
            </w:r>
            <w:r w:rsidR="00EE4979" w:rsidRPr="00EE4979">
              <w:rPr>
                <w:webHidden/>
              </w:rPr>
              <w:fldChar w:fldCharType="end"/>
            </w:r>
          </w:hyperlink>
        </w:p>
        <w:p w:rsidR="00EE4979" w:rsidRPr="00EE4979" w:rsidRDefault="0036558A" w:rsidP="00EE4979">
          <w:pPr>
            <w:pStyle w:val="TOC3"/>
            <w:rPr>
              <w:rFonts w:eastAsiaTheme="minorEastAsia"/>
            </w:rPr>
          </w:pPr>
          <w:hyperlink w:anchor="_Toc144820071" w:history="1">
            <w:r w:rsidR="00EE4979" w:rsidRPr="00EE4979">
              <w:rPr>
                <w:rStyle w:val="Hyperlink"/>
              </w:rPr>
              <w:t>4.8.1 Adsorption Isotherms Fitting for Cadmium</w:t>
            </w:r>
            <w:r w:rsidR="00EE4979" w:rsidRPr="00EE4979">
              <w:rPr>
                <w:webHidden/>
              </w:rPr>
              <w:tab/>
            </w:r>
            <w:r w:rsidR="00EE4979" w:rsidRPr="00EE4979">
              <w:rPr>
                <w:webHidden/>
              </w:rPr>
              <w:fldChar w:fldCharType="begin"/>
            </w:r>
            <w:r w:rsidR="00EE4979" w:rsidRPr="00EE4979">
              <w:rPr>
                <w:webHidden/>
              </w:rPr>
              <w:instrText xml:space="preserve"> PAGEREF _Toc144820071 \h </w:instrText>
            </w:r>
            <w:r w:rsidR="00EE4979" w:rsidRPr="00EE4979">
              <w:rPr>
                <w:webHidden/>
              </w:rPr>
            </w:r>
            <w:r w:rsidR="00EE4979" w:rsidRPr="00EE4979">
              <w:rPr>
                <w:webHidden/>
              </w:rPr>
              <w:fldChar w:fldCharType="separate"/>
            </w:r>
            <w:r w:rsidR="00301A90">
              <w:rPr>
                <w:webHidden/>
              </w:rPr>
              <w:t>80</w:t>
            </w:r>
            <w:r w:rsidR="00EE4979" w:rsidRPr="00EE4979">
              <w:rPr>
                <w:webHidden/>
              </w:rPr>
              <w:fldChar w:fldCharType="end"/>
            </w:r>
          </w:hyperlink>
        </w:p>
        <w:p w:rsidR="00EE4979" w:rsidRPr="00EE4979" w:rsidRDefault="0036558A" w:rsidP="00EE4979">
          <w:pPr>
            <w:pStyle w:val="TOC3"/>
            <w:rPr>
              <w:rFonts w:eastAsiaTheme="minorEastAsia"/>
            </w:rPr>
          </w:pPr>
          <w:hyperlink w:anchor="_Toc144820072" w:history="1">
            <w:r w:rsidR="00EE4979" w:rsidRPr="00EE4979">
              <w:rPr>
                <w:rStyle w:val="Hyperlink"/>
              </w:rPr>
              <w:t>4.8.2 Adsorption Isotherms Fitting for Lead</w:t>
            </w:r>
            <w:r w:rsidR="00EE4979" w:rsidRPr="00EE4979">
              <w:rPr>
                <w:webHidden/>
              </w:rPr>
              <w:tab/>
            </w:r>
            <w:r w:rsidR="00EE4979" w:rsidRPr="00EE4979">
              <w:rPr>
                <w:webHidden/>
              </w:rPr>
              <w:fldChar w:fldCharType="begin"/>
            </w:r>
            <w:r w:rsidR="00EE4979" w:rsidRPr="00EE4979">
              <w:rPr>
                <w:webHidden/>
              </w:rPr>
              <w:instrText xml:space="preserve"> PAGEREF _Toc144820072 \h </w:instrText>
            </w:r>
            <w:r w:rsidR="00EE4979" w:rsidRPr="00EE4979">
              <w:rPr>
                <w:webHidden/>
              </w:rPr>
            </w:r>
            <w:r w:rsidR="00EE4979" w:rsidRPr="00EE4979">
              <w:rPr>
                <w:webHidden/>
              </w:rPr>
              <w:fldChar w:fldCharType="separate"/>
            </w:r>
            <w:r w:rsidR="00301A90">
              <w:rPr>
                <w:webHidden/>
              </w:rPr>
              <w:t>81</w:t>
            </w:r>
            <w:r w:rsidR="00EE4979" w:rsidRPr="00EE4979">
              <w:rPr>
                <w:webHidden/>
              </w:rPr>
              <w:fldChar w:fldCharType="end"/>
            </w:r>
          </w:hyperlink>
        </w:p>
        <w:p w:rsidR="00EE4979" w:rsidRPr="00EE4979" w:rsidRDefault="0036558A" w:rsidP="00EE4979">
          <w:pPr>
            <w:pStyle w:val="TOC2"/>
            <w:rPr>
              <w:rFonts w:eastAsiaTheme="minorEastAsia"/>
            </w:rPr>
          </w:pPr>
          <w:hyperlink w:anchor="_Toc144820073" w:history="1">
            <w:r w:rsidR="00EE4979" w:rsidRPr="00EE4979">
              <w:rPr>
                <w:rStyle w:val="Hyperlink"/>
                <w:b w:val="0"/>
              </w:rPr>
              <w:t>4.9 Adsorption Kinetic Studies</w:t>
            </w:r>
            <w:r w:rsidR="00EE4979" w:rsidRPr="00EE4979">
              <w:rPr>
                <w:webHidden/>
              </w:rPr>
              <w:tab/>
            </w:r>
            <w:r w:rsidR="00EE4979" w:rsidRPr="00EE4979">
              <w:rPr>
                <w:webHidden/>
              </w:rPr>
              <w:fldChar w:fldCharType="begin"/>
            </w:r>
            <w:r w:rsidR="00EE4979" w:rsidRPr="00EE4979">
              <w:rPr>
                <w:webHidden/>
              </w:rPr>
              <w:instrText xml:space="preserve"> PAGEREF _Toc144820073 \h </w:instrText>
            </w:r>
            <w:r w:rsidR="00EE4979" w:rsidRPr="00EE4979">
              <w:rPr>
                <w:webHidden/>
              </w:rPr>
            </w:r>
            <w:r w:rsidR="00EE4979" w:rsidRPr="00EE4979">
              <w:rPr>
                <w:webHidden/>
              </w:rPr>
              <w:fldChar w:fldCharType="separate"/>
            </w:r>
            <w:r w:rsidR="00301A90">
              <w:rPr>
                <w:webHidden/>
              </w:rPr>
              <w:t>83</w:t>
            </w:r>
            <w:r w:rsidR="00EE4979" w:rsidRPr="00EE4979">
              <w:rPr>
                <w:webHidden/>
              </w:rPr>
              <w:fldChar w:fldCharType="end"/>
            </w:r>
          </w:hyperlink>
        </w:p>
        <w:p w:rsidR="00EE4979" w:rsidRPr="00EE4979" w:rsidRDefault="0036558A" w:rsidP="00EE4979">
          <w:pPr>
            <w:pStyle w:val="TOC3"/>
            <w:rPr>
              <w:rFonts w:eastAsiaTheme="minorEastAsia"/>
            </w:rPr>
          </w:pPr>
          <w:hyperlink w:anchor="_Toc144820074" w:history="1">
            <w:r w:rsidR="00EE4979" w:rsidRPr="00EE4979">
              <w:rPr>
                <w:rStyle w:val="Hyperlink"/>
              </w:rPr>
              <w:t>4.9.1 Adsorption Kinetic Studies for Cadmium and Lead</w:t>
            </w:r>
            <w:r w:rsidR="00EE4979" w:rsidRPr="00EE4979">
              <w:rPr>
                <w:webHidden/>
              </w:rPr>
              <w:tab/>
            </w:r>
            <w:r w:rsidR="00EE4979" w:rsidRPr="00EE4979">
              <w:rPr>
                <w:webHidden/>
              </w:rPr>
              <w:fldChar w:fldCharType="begin"/>
            </w:r>
            <w:r w:rsidR="00EE4979" w:rsidRPr="00EE4979">
              <w:rPr>
                <w:webHidden/>
              </w:rPr>
              <w:instrText xml:space="preserve"> PAGEREF _Toc144820074 \h </w:instrText>
            </w:r>
            <w:r w:rsidR="00EE4979" w:rsidRPr="00EE4979">
              <w:rPr>
                <w:webHidden/>
              </w:rPr>
            </w:r>
            <w:r w:rsidR="00EE4979" w:rsidRPr="00EE4979">
              <w:rPr>
                <w:webHidden/>
              </w:rPr>
              <w:fldChar w:fldCharType="separate"/>
            </w:r>
            <w:r w:rsidR="00301A90">
              <w:rPr>
                <w:webHidden/>
              </w:rPr>
              <w:t>83</w:t>
            </w:r>
            <w:r w:rsidR="00EE4979" w:rsidRPr="00EE4979">
              <w:rPr>
                <w:webHidden/>
              </w:rPr>
              <w:fldChar w:fldCharType="end"/>
            </w:r>
          </w:hyperlink>
        </w:p>
        <w:p w:rsidR="00EE4979" w:rsidRPr="00EE4979" w:rsidRDefault="0036558A" w:rsidP="00EE4979">
          <w:pPr>
            <w:pStyle w:val="TOC2"/>
            <w:rPr>
              <w:rFonts w:eastAsiaTheme="minorEastAsia"/>
            </w:rPr>
          </w:pPr>
          <w:hyperlink w:anchor="_Toc144820075" w:history="1">
            <w:r w:rsidR="00EE4979" w:rsidRPr="00EE4979">
              <w:rPr>
                <w:rStyle w:val="Hyperlink"/>
                <w:b w:val="0"/>
              </w:rPr>
              <w:t>4.10 Nutrient Release Concentration Studies</w:t>
            </w:r>
            <w:r w:rsidR="00EE4979" w:rsidRPr="00EE4979">
              <w:rPr>
                <w:webHidden/>
              </w:rPr>
              <w:tab/>
            </w:r>
            <w:r w:rsidR="00EE4979" w:rsidRPr="00EE4979">
              <w:rPr>
                <w:webHidden/>
              </w:rPr>
              <w:fldChar w:fldCharType="begin"/>
            </w:r>
            <w:r w:rsidR="00EE4979" w:rsidRPr="00EE4979">
              <w:rPr>
                <w:webHidden/>
              </w:rPr>
              <w:instrText xml:space="preserve"> PAGEREF _Toc144820075 \h </w:instrText>
            </w:r>
            <w:r w:rsidR="00EE4979" w:rsidRPr="00EE4979">
              <w:rPr>
                <w:webHidden/>
              </w:rPr>
            </w:r>
            <w:r w:rsidR="00EE4979" w:rsidRPr="00EE4979">
              <w:rPr>
                <w:webHidden/>
              </w:rPr>
              <w:fldChar w:fldCharType="separate"/>
            </w:r>
            <w:r w:rsidR="00301A90">
              <w:rPr>
                <w:webHidden/>
              </w:rPr>
              <w:t>86</w:t>
            </w:r>
            <w:r w:rsidR="00EE4979" w:rsidRPr="00EE4979">
              <w:rPr>
                <w:webHidden/>
              </w:rPr>
              <w:fldChar w:fldCharType="end"/>
            </w:r>
          </w:hyperlink>
        </w:p>
        <w:p w:rsidR="00EE4979" w:rsidRPr="00EE4979" w:rsidRDefault="0036558A">
          <w:pPr>
            <w:pStyle w:val="TOC1"/>
            <w:rPr>
              <w:rFonts w:eastAsiaTheme="minorEastAsia"/>
              <w:b/>
            </w:rPr>
          </w:pPr>
          <w:hyperlink w:anchor="_Toc144820076" w:history="1">
            <w:r w:rsidR="00EE4979" w:rsidRPr="00EE4979">
              <w:rPr>
                <w:rStyle w:val="Hyperlink"/>
                <w:b/>
              </w:rPr>
              <w:t>CHAPTER FIVE</w:t>
            </w:r>
            <w:r w:rsidR="00EE4979" w:rsidRPr="00EE4979">
              <w:rPr>
                <w:b/>
                <w:webHidden/>
              </w:rPr>
              <w:tab/>
            </w:r>
            <w:r w:rsidR="00EE4979" w:rsidRPr="00EE4979">
              <w:rPr>
                <w:b/>
                <w:webHidden/>
              </w:rPr>
              <w:fldChar w:fldCharType="begin"/>
            </w:r>
            <w:r w:rsidR="00EE4979" w:rsidRPr="00EE4979">
              <w:rPr>
                <w:b/>
                <w:webHidden/>
              </w:rPr>
              <w:instrText xml:space="preserve"> PAGEREF _Toc144820076 \h </w:instrText>
            </w:r>
            <w:r w:rsidR="00EE4979" w:rsidRPr="00EE4979">
              <w:rPr>
                <w:b/>
                <w:webHidden/>
              </w:rPr>
            </w:r>
            <w:r w:rsidR="00EE4979" w:rsidRPr="00EE4979">
              <w:rPr>
                <w:b/>
                <w:webHidden/>
              </w:rPr>
              <w:fldChar w:fldCharType="separate"/>
            </w:r>
            <w:r w:rsidR="00301A90">
              <w:rPr>
                <w:b/>
                <w:webHidden/>
              </w:rPr>
              <w:t>93</w:t>
            </w:r>
            <w:r w:rsidR="00EE4979" w:rsidRPr="00EE4979">
              <w:rPr>
                <w:b/>
                <w:webHidden/>
              </w:rPr>
              <w:fldChar w:fldCharType="end"/>
            </w:r>
          </w:hyperlink>
        </w:p>
        <w:p w:rsidR="00EE4979" w:rsidRPr="00EE4979" w:rsidRDefault="0036558A">
          <w:pPr>
            <w:pStyle w:val="TOC1"/>
            <w:rPr>
              <w:rFonts w:eastAsiaTheme="minorEastAsia"/>
              <w:b/>
            </w:rPr>
          </w:pPr>
          <w:hyperlink w:anchor="_Toc144820077" w:history="1">
            <w:r w:rsidR="00EE4979" w:rsidRPr="00EE4979">
              <w:rPr>
                <w:rStyle w:val="Hyperlink"/>
                <w:b/>
              </w:rPr>
              <w:t>CONCLUSIONS AND RECOMMENDATIONS</w:t>
            </w:r>
            <w:r w:rsidR="00EE4979" w:rsidRPr="00EE4979">
              <w:rPr>
                <w:b/>
                <w:webHidden/>
              </w:rPr>
              <w:tab/>
            </w:r>
            <w:r w:rsidR="00EE4979" w:rsidRPr="00EE4979">
              <w:rPr>
                <w:b/>
                <w:webHidden/>
              </w:rPr>
              <w:fldChar w:fldCharType="begin"/>
            </w:r>
            <w:r w:rsidR="00EE4979" w:rsidRPr="00EE4979">
              <w:rPr>
                <w:b/>
                <w:webHidden/>
              </w:rPr>
              <w:instrText xml:space="preserve"> PAGEREF _Toc144820077 \h </w:instrText>
            </w:r>
            <w:r w:rsidR="00EE4979" w:rsidRPr="00EE4979">
              <w:rPr>
                <w:b/>
                <w:webHidden/>
              </w:rPr>
            </w:r>
            <w:r w:rsidR="00EE4979" w:rsidRPr="00EE4979">
              <w:rPr>
                <w:b/>
                <w:webHidden/>
              </w:rPr>
              <w:fldChar w:fldCharType="separate"/>
            </w:r>
            <w:r w:rsidR="00301A90">
              <w:rPr>
                <w:b/>
                <w:webHidden/>
              </w:rPr>
              <w:t>93</w:t>
            </w:r>
            <w:r w:rsidR="00EE4979" w:rsidRPr="00EE4979">
              <w:rPr>
                <w:b/>
                <w:webHidden/>
              </w:rPr>
              <w:fldChar w:fldCharType="end"/>
            </w:r>
          </w:hyperlink>
        </w:p>
        <w:p w:rsidR="00EE4979" w:rsidRPr="00EE4979" w:rsidRDefault="0036558A" w:rsidP="00EE4979">
          <w:pPr>
            <w:pStyle w:val="TOC2"/>
            <w:rPr>
              <w:rFonts w:eastAsiaTheme="minorEastAsia"/>
            </w:rPr>
          </w:pPr>
          <w:hyperlink w:anchor="_Toc144820078" w:history="1">
            <w:r w:rsidR="00EE4979" w:rsidRPr="00EE4979">
              <w:rPr>
                <w:rStyle w:val="Hyperlink"/>
                <w:b w:val="0"/>
              </w:rPr>
              <w:t>5.1 Conclusions</w:t>
            </w:r>
            <w:r w:rsidR="00EE4979" w:rsidRPr="00EE4979">
              <w:rPr>
                <w:webHidden/>
              </w:rPr>
              <w:tab/>
            </w:r>
            <w:r w:rsidR="00EE4979" w:rsidRPr="00EE4979">
              <w:rPr>
                <w:webHidden/>
              </w:rPr>
              <w:fldChar w:fldCharType="begin"/>
            </w:r>
            <w:r w:rsidR="00EE4979" w:rsidRPr="00EE4979">
              <w:rPr>
                <w:webHidden/>
              </w:rPr>
              <w:instrText xml:space="preserve"> PAGEREF _Toc144820078 \h </w:instrText>
            </w:r>
            <w:r w:rsidR="00EE4979" w:rsidRPr="00EE4979">
              <w:rPr>
                <w:webHidden/>
              </w:rPr>
            </w:r>
            <w:r w:rsidR="00EE4979" w:rsidRPr="00EE4979">
              <w:rPr>
                <w:webHidden/>
              </w:rPr>
              <w:fldChar w:fldCharType="separate"/>
            </w:r>
            <w:r w:rsidR="00301A90">
              <w:rPr>
                <w:webHidden/>
              </w:rPr>
              <w:t>93</w:t>
            </w:r>
            <w:r w:rsidR="00EE4979" w:rsidRPr="00EE4979">
              <w:rPr>
                <w:webHidden/>
              </w:rPr>
              <w:fldChar w:fldCharType="end"/>
            </w:r>
          </w:hyperlink>
        </w:p>
        <w:p w:rsidR="00EE4979" w:rsidRPr="00EE4979" w:rsidRDefault="0036558A" w:rsidP="00EE4979">
          <w:pPr>
            <w:pStyle w:val="TOC3"/>
            <w:rPr>
              <w:rFonts w:eastAsiaTheme="minorEastAsia"/>
            </w:rPr>
          </w:pPr>
          <w:hyperlink w:anchor="_Toc144820079" w:history="1">
            <w:r w:rsidR="00EE4979" w:rsidRPr="00EE4979">
              <w:rPr>
                <w:rStyle w:val="Hyperlink"/>
              </w:rPr>
              <w:t>5.2.1 Recommendations from the Study</w:t>
            </w:r>
            <w:r w:rsidR="00EE4979" w:rsidRPr="00EE4979">
              <w:rPr>
                <w:webHidden/>
              </w:rPr>
              <w:tab/>
            </w:r>
            <w:r w:rsidR="00EE4979" w:rsidRPr="00EE4979">
              <w:rPr>
                <w:webHidden/>
              </w:rPr>
              <w:fldChar w:fldCharType="begin"/>
            </w:r>
            <w:r w:rsidR="00EE4979" w:rsidRPr="00EE4979">
              <w:rPr>
                <w:webHidden/>
              </w:rPr>
              <w:instrText xml:space="preserve"> PAGEREF _Toc144820079 \h </w:instrText>
            </w:r>
            <w:r w:rsidR="00EE4979" w:rsidRPr="00EE4979">
              <w:rPr>
                <w:webHidden/>
              </w:rPr>
            </w:r>
            <w:r w:rsidR="00EE4979" w:rsidRPr="00EE4979">
              <w:rPr>
                <w:webHidden/>
              </w:rPr>
              <w:fldChar w:fldCharType="separate"/>
            </w:r>
            <w:r w:rsidR="00301A90">
              <w:rPr>
                <w:webHidden/>
              </w:rPr>
              <w:t>94</w:t>
            </w:r>
            <w:r w:rsidR="00EE4979" w:rsidRPr="00EE4979">
              <w:rPr>
                <w:webHidden/>
              </w:rPr>
              <w:fldChar w:fldCharType="end"/>
            </w:r>
          </w:hyperlink>
        </w:p>
        <w:p w:rsidR="00EE4979" w:rsidRPr="00EE4979" w:rsidRDefault="0036558A" w:rsidP="00EE4979">
          <w:pPr>
            <w:pStyle w:val="TOC3"/>
            <w:rPr>
              <w:rFonts w:eastAsiaTheme="minorEastAsia"/>
            </w:rPr>
          </w:pPr>
          <w:hyperlink w:anchor="_Toc144820080" w:history="1">
            <w:r w:rsidR="00EE4979" w:rsidRPr="00EE4979">
              <w:rPr>
                <w:rStyle w:val="Hyperlink"/>
              </w:rPr>
              <w:t>5.2.2 Recommendation for Further Research</w:t>
            </w:r>
            <w:r w:rsidR="00EE4979" w:rsidRPr="00EE4979">
              <w:rPr>
                <w:webHidden/>
              </w:rPr>
              <w:tab/>
            </w:r>
            <w:r w:rsidR="00EE4979" w:rsidRPr="00EE4979">
              <w:rPr>
                <w:webHidden/>
              </w:rPr>
              <w:fldChar w:fldCharType="begin"/>
            </w:r>
            <w:r w:rsidR="00EE4979" w:rsidRPr="00EE4979">
              <w:rPr>
                <w:webHidden/>
              </w:rPr>
              <w:instrText xml:space="preserve"> PAGEREF _Toc144820080 \h </w:instrText>
            </w:r>
            <w:r w:rsidR="00EE4979" w:rsidRPr="00EE4979">
              <w:rPr>
                <w:webHidden/>
              </w:rPr>
            </w:r>
            <w:r w:rsidR="00EE4979" w:rsidRPr="00EE4979">
              <w:rPr>
                <w:webHidden/>
              </w:rPr>
              <w:fldChar w:fldCharType="separate"/>
            </w:r>
            <w:r w:rsidR="00301A90">
              <w:rPr>
                <w:webHidden/>
              </w:rPr>
              <w:t>94</w:t>
            </w:r>
            <w:r w:rsidR="00EE4979" w:rsidRPr="00EE4979">
              <w:rPr>
                <w:webHidden/>
              </w:rPr>
              <w:fldChar w:fldCharType="end"/>
            </w:r>
          </w:hyperlink>
        </w:p>
        <w:p w:rsidR="00EE4979" w:rsidRDefault="0036558A">
          <w:pPr>
            <w:pStyle w:val="TOC1"/>
            <w:rPr>
              <w:rStyle w:val="Hyperlink"/>
              <w:b/>
            </w:rPr>
          </w:pPr>
          <w:hyperlink w:anchor="_Toc144820081" w:history="1">
            <w:r w:rsidR="00EE4979" w:rsidRPr="00EE4979">
              <w:rPr>
                <w:rStyle w:val="Hyperlink"/>
                <w:b/>
              </w:rPr>
              <w:t>REFERENCES</w:t>
            </w:r>
            <w:r w:rsidR="00EE4979" w:rsidRPr="00EE4979">
              <w:rPr>
                <w:b/>
                <w:webHidden/>
              </w:rPr>
              <w:tab/>
            </w:r>
            <w:r w:rsidR="00EE4979" w:rsidRPr="00EE4979">
              <w:rPr>
                <w:b/>
                <w:webHidden/>
              </w:rPr>
              <w:fldChar w:fldCharType="begin"/>
            </w:r>
            <w:r w:rsidR="00EE4979" w:rsidRPr="00EE4979">
              <w:rPr>
                <w:b/>
                <w:webHidden/>
              </w:rPr>
              <w:instrText xml:space="preserve"> PAGEREF _Toc144820081 \h </w:instrText>
            </w:r>
            <w:r w:rsidR="00EE4979" w:rsidRPr="00EE4979">
              <w:rPr>
                <w:b/>
                <w:webHidden/>
              </w:rPr>
            </w:r>
            <w:r w:rsidR="00EE4979" w:rsidRPr="00EE4979">
              <w:rPr>
                <w:b/>
                <w:webHidden/>
              </w:rPr>
              <w:fldChar w:fldCharType="separate"/>
            </w:r>
            <w:r w:rsidR="00301A90">
              <w:rPr>
                <w:b/>
                <w:webHidden/>
              </w:rPr>
              <w:t>95</w:t>
            </w:r>
            <w:r w:rsidR="00EE4979" w:rsidRPr="00EE4979">
              <w:rPr>
                <w:b/>
                <w:webHidden/>
              </w:rPr>
              <w:fldChar w:fldCharType="end"/>
            </w:r>
          </w:hyperlink>
        </w:p>
        <w:p w:rsidR="00EE4979" w:rsidRPr="00EE4979" w:rsidRDefault="00EE4979" w:rsidP="00EE4979">
          <w:pPr>
            <w:rPr>
              <w:rFonts w:eastAsiaTheme="minorEastAsia"/>
            </w:rPr>
          </w:pPr>
        </w:p>
        <w:p w:rsidR="00EE4979" w:rsidRPr="00EE4979" w:rsidRDefault="0036558A">
          <w:pPr>
            <w:pStyle w:val="TOC1"/>
            <w:rPr>
              <w:rFonts w:eastAsiaTheme="minorEastAsia"/>
              <w:b/>
            </w:rPr>
          </w:pPr>
          <w:hyperlink w:anchor="_Toc144820082" w:history="1">
            <w:r w:rsidR="00EE4979" w:rsidRPr="00EE4979">
              <w:rPr>
                <w:rStyle w:val="Hyperlink"/>
                <w:b/>
              </w:rPr>
              <w:t>APPENDICES</w:t>
            </w:r>
            <w:r w:rsidR="00EE4979" w:rsidRPr="00EE4979">
              <w:rPr>
                <w:b/>
                <w:webHidden/>
              </w:rPr>
              <w:tab/>
            </w:r>
            <w:r w:rsidR="00EE4979" w:rsidRPr="00EE4979">
              <w:rPr>
                <w:b/>
                <w:webHidden/>
              </w:rPr>
              <w:fldChar w:fldCharType="begin"/>
            </w:r>
            <w:r w:rsidR="00EE4979" w:rsidRPr="00EE4979">
              <w:rPr>
                <w:b/>
                <w:webHidden/>
              </w:rPr>
              <w:instrText xml:space="preserve"> PAGEREF _Toc144820082 \h </w:instrText>
            </w:r>
            <w:r w:rsidR="00EE4979" w:rsidRPr="00EE4979">
              <w:rPr>
                <w:b/>
                <w:webHidden/>
              </w:rPr>
            </w:r>
            <w:r w:rsidR="00EE4979" w:rsidRPr="00EE4979">
              <w:rPr>
                <w:b/>
                <w:webHidden/>
              </w:rPr>
              <w:fldChar w:fldCharType="separate"/>
            </w:r>
            <w:r w:rsidR="00301A90">
              <w:rPr>
                <w:b/>
                <w:webHidden/>
              </w:rPr>
              <w:t>103</w:t>
            </w:r>
            <w:r w:rsidR="00EE4979" w:rsidRPr="00EE4979">
              <w:rPr>
                <w:b/>
                <w:webHidden/>
              </w:rPr>
              <w:fldChar w:fldCharType="end"/>
            </w:r>
          </w:hyperlink>
        </w:p>
        <w:p w:rsidR="00EE4979" w:rsidRPr="00301A90" w:rsidRDefault="0036558A" w:rsidP="00EE4979">
          <w:pPr>
            <w:pStyle w:val="TOC2"/>
            <w:rPr>
              <w:rFonts w:eastAsiaTheme="minorEastAsia"/>
              <w:b w:val="0"/>
            </w:rPr>
          </w:pPr>
          <w:hyperlink w:anchor="_Toc144820083" w:history="1">
            <w:r w:rsidR="00EE4979" w:rsidRPr="00301A90">
              <w:rPr>
                <w:rStyle w:val="Hyperlink"/>
                <w:b w:val="0"/>
              </w:rPr>
              <w:t>Appendix I: Percentage Pb and Cd reduction uptake in kales, spinach and beans at maturity (After 90 days)</w:t>
            </w:r>
            <w:r w:rsidR="00EE4979" w:rsidRPr="00301A90">
              <w:rPr>
                <w:b w:val="0"/>
                <w:webHidden/>
              </w:rPr>
              <w:tab/>
            </w:r>
            <w:r w:rsidR="00EE4979" w:rsidRPr="00301A90">
              <w:rPr>
                <w:b w:val="0"/>
                <w:webHidden/>
              </w:rPr>
              <w:fldChar w:fldCharType="begin"/>
            </w:r>
            <w:r w:rsidR="00EE4979" w:rsidRPr="00301A90">
              <w:rPr>
                <w:b w:val="0"/>
                <w:webHidden/>
              </w:rPr>
              <w:instrText xml:space="preserve"> PAGEREF _Toc144820083 \h </w:instrText>
            </w:r>
            <w:r w:rsidR="00EE4979" w:rsidRPr="00301A90">
              <w:rPr>
                <w:b w:val="0"/>
                <w:webHidden/>
              </w:rPr>
            </w:r>
            <w:r w:rsidR="00EE4979" w:rsidRPr="00301A90">
              <w:rPr>
                <w:b w:val="0"/>
                <w:webHidden/>
              </w:rPr>
              <w:fldChar w:fldCharType="separate"/>
            </w:r>
            <w:r w:rsidR="00301A90">
              <w:rPr>
                <w:b w:val="0"/>
                <w:webHidden/>
              </w:rPr>
              <w:t>103</w:t>
            </w:r>
            <w:r w:rsidR="00EE4979" w:rsidRPr="00301A90">
              <w:rPr>
                <w:b w:val="0"/>
                <w:webHidden/>
              </w:rPr>
              <w:fldChar w:fldCharType="end"/>
            </w:r>
          </w:hyperlink>
        </w:p>
        <w:p w:rsidR="00EE4979" w:rsidRPr="00301A90" w:rsidRDefault="0036558A" w:rsidP="00EE4979">
          <w:pPr>
            <w:pStyle w:val="TOC2"/>
            <w:rPr>
              <w:rFonts w:eastAsiaTheme="minorEastAsia"/>
              <w:b w:val="0"/>
            </w:rPr>
          </w:pPr>
          <w:hyperlink w:anchor="_Toc144820084" w:history="1">
            <w:r w:rsidR="00EE4979" w:rsidRPr="00301A90">
              <w:rPr>
                <w:rStyle w:val="Hyperlink"/>
                <w:b w:val="0"/>
              </w:rPr>
              <w:t>Appendix II: Percentage effect on height growth performance of kales, spinach and beans at maturity (After 90 days)</w:t>
            </w:r>
            <w:r w:rsidR="00EE4979" w:rsidRPr="00301A90">
              <w:rPr>
                <w:b w:val="0"/>
                <w:webHidden/>
              </w:rPr>
              <w:tab/>
            </w:r>
            <w:r w:rsidR="00EE4979" w:rsidRPr="00301A90">
              <w:rPr>
                <w:b w:val="0"/>
                <w:webHidden/>
              </w:rPr>
              <w:fldChar w:fldCharType="begin"/>
            </w:r>
            <w:r w:rsidR="00EE4979" w:rsidRPr="00301A90">
              <w:rPr>
                <w:b w:val="0"/>
                <w:webHidden/>
              </w:rPr>
              <w:instrText xml:space="preserve"> PAGEREF _Toc144820084 \h </w:instrText>
            </w:r>
            <w:r w:rsidR="00EE4979" w:rsidRPr="00301A90">
              <w:rPr>
                <w:b w:val="0"/>
                <w:webHidden/>
              </w:rPr>
            </w:r>
            <w:r w:rsidR="00EE4979" w:rsidRPr="00301A90">
              <w:rPr>
                <w:b w:val="0"/>
                <w:webHidden/>
              </w:rPr>
              <w:fldChar w:fldCharType="separate"/>
            </w:r>
            <w:r w:rsidR="00301A90">
              <w:rPr>
                <w:b w:val="0"/>
                <w:webHidden/>
              </w:rPr>
              <w:t>104</w:t>
            </w:r>
            <w:r w:rsidR="00EE4979" w:rsidRPr="00301A90">
              <w:rPr>
                <w:b w:val="0"/>
                <w:webHidden/>
              </w:rPr>
              <w:fldChar w:fldCharType="end"/>
            </w:r>
          </w:hyperlink>
        </w:p>
        <w:p w:rsidR="00EE4979" w:rsidRPr="00301A90" w:rsidRDefault="0036558A" w:rsidP="00EE4979">
          <w:pPr>
            <w:pStyle w:val="TOC2"/>
            <w:rPr>
              <w:rFonts w:eastAsiaTheme="minorEastAsia"/>
              <w:b w:val="0"/>
            </w:rPr>
          </w:pPr>
          <w:hyperlink w:anchor="_Toc144820085" w:history="1">
            <w:r w:rsidR="00EE4979" w:rsidRPr="00301A90">
              <w:rPr>
                <w:rStyle w:val="Hyperlink"/>
                <w:b w:val="0"/>
              </w:rPr>
              <w:t>Appendix III: % Phosphate release rate in bone and synthetic nHA nano-fertilizer</w:t>
            </w:r>
            <w:r w:rsidR="00EE4979" w:rsidRPr="00301A90">
              <w:rPr>
                <w:b w:val="0"/>
                <w:webHidden/>
              </w:rPr>
              <w:tab/>
            </w:r>
            <w:r w:rsidR="00EE4979" w:rsidRPr="00301A90">
              <w:rPr>
                <w:b w:val="0"/>
                <w:webHidden/>
              </w:rPr>
              <w:fldChar w:fldCharType="begin"/>
            </w:r>
            <w:r w:rsidR="00EE4979" w:rsidRPr="00301A90">
              <w:rPr>
                <w:b w:val="0"/>
                <w:webHidden/>
              </w:rPr>
              <w:instrText xml:space="preserve"> PAGEREF _Toc144820085 \h </w:instrText>
            </w:r>
            <w:r w:rsidR="00EE4979" w:rsidRPr="00301A90">
              <w:rPr>
                <w:b w:val="0"/>
                <w:webHidden/>
              </w:rPr>
            </w:r>
            <w:r w:rsidR="00EE4979" w:rsidRPr="00301A90">
              <w:rPr>
                <w:b w:val="0"/>
                <w:webHidden/>
              </w:rPr>
              <w:fldChar w:fldCharType="separate"/>
            </w:r>
            <w:r w:rsidR="00301A90">
              <w:rPr>
                <w:b w:val="0"/>
                <w:webHidden/>
              </w:rPr>
              <w:t>105</w:t>
            </w:r>
            <w:r w:rsidR="00EE4979" w:rsidRPr="00301A90">
              <w:rPr>
                <w:b w:val="0"/>
                <w:webHidden/>
              </w:rPr>
              <w:fldChar w:fldCharType="end"/>
            </w:r>
          </w:hyperlink>
        </w:p>
        <w:p w:rsidR="00EE4979" w:rsidRPr="00301A90" w:rsidRDefault="0036558A" w:rsidP="00EE4979">
          <w:pPr>
            <w:pStyle w:val="TOC2"/>
            <w:rPr>
              <w:rFonts w:eastAsiaTheme="minorEastAsia"/>
              <w:b w:val="0"/>
            </w:rPr>
          </w:pPr>
          <w:hyperlink w:anchor="_Toc144820086" w:history="1">
            <w:r w:rsidR="00EE4979" w:rsidRPr="00301A90">
              <w:rPr>
                <w:rStyle w:val="Hyperlink"/>
                <w:b w:val="0"/>
              </w:rPr>
              <w:t>Appendix IV: % Phosphate release rate in bone and synthetic nHA nano-fertilizer</w:t>
            </w:r>
            <w:r w:rsidR="00EE4979" w:rsidRPr="00301A90">
              <w:rPr>
                <w:b w:val="0"/>
                <w:webHidden/>
              </w:rPr>
              <w:tab/>
            </w:r>
            <w:r w:rsidR="00EE4979" w:rsidRPr="00301A90">
              <w:rPr>
                <w:b w:val="0"/>
                <w:webHidden/>
              </w:rPr>
              <w:fldChar w:fldCharType="begin"/>
            </w:r>
            <w:r w:rsidR="00EE4979" w:rsidRPr="00301A90">
              <w:rPr>
                <w:b w:val="0"/>
                <w:webHidden/>
              </w:rPr>
              <w:instrText xml:space="preserve"> PAGEREF _Toc144820086 \h </w:instrText>
            </w:r>
            <w:r w:rsidR="00EE4979" w:rsidRPr="00301A90">
              <w:rPr>
                <w:b w:val="0"/>
                <w:webHidden/>
              </w:rPr>
            </w:r>
            <w:r w:rsidR="00EE4979" w:rsidRPr="00301A90">
              <w:rPr>
                <w:b w:val="0"/>
                <w:webHidden/>
              </w:rPr>
              <w:fldChar w:fldCharType="separate"/>
            </w:r>
            <w:r w:rsidR="00301A90">
              <w:rPr>
                <w:b w:val="0"/>
                <w:webHidden/>
              </w:rPr>
              <w:t>106</w:t>
            </w:r>
            <w:r w:rsidR="00EE4979" w:rsidRPr="00301A90">
              <w:rPr>
                <w:b w:val="0"/>
                <w:webHidden/>
              </w:rPr>
              <w:fldChar w:fldCharType="end"/>
            </w:r>
          </w:hyperlink>
        </w:p>
        <w:p w:rsidR="00EE4979" w:rsidRPr="00301A90" w:rsidRDefault="0036558A" w:rsidP="00EE4979">
          <w:pPr>
            <w:pStyle w:val="TOC2"/>
            <w:rPr>
              <w:rFonts w:eastAsiaTheme="minorEastAsia"/>
              <w:b w:val="0"/>
            </w:rPr>
          </w:pPr>
          <w:hyperlink w:anchor="_Toc144820087" w:history="1">
            <w:r w:rsidR="00EE4979" w:rsidRPr="00301A90">
              <w:rPr>
                <w:rStyle w:val="Hyperlink"/>
                <w:b w:val="0"/>
              </w:rPr>
              <w:t>Appendix V: Published paper With IOSR-JAC.</w:t>
            </w:r>
            <w:r w:rsidR="00EE4979" w:rsidRPr="00301A90">
              <w:rPr>
                <w:b w:val="0"/>
                <w:webHidden/>
              </w:rPr>
              <w:tab/>
            </w:r>
            <w:r w:rsidR="00EE4979" w:rsidRPr="00301A90">
              <w:rPr>
                <w:b w:val="0"/>
                <w:webHidden/>
              </w:rPr>
              <w:fldChar w:fldCharType="begin"/>
            </w:r>
            <w:r w:rsidR="00EE4979" w:rsidRPr="00301A90">
              <w:rPr>
                <w:b w:val="0"/>
                <w:webHidden/>
              </w:rPr>
              <w:instrText xml:space="preserve"> PAGEREF _Toc144820087 \h </w:instrText>
            </w:r>
            <w:r w:rsidR="00EE4979" w:rsidRPr="00301A90">
              <w:rPr>
                <w:b w:val="0"/>
                <w:webHidden/>
              </w:rPr>
            </w:r>
            <w:r w:rsidR="00EE4979" w:rsidRPr="00301A90">
              <w:rPr>
                <w:b w:val="0"/>
                <w:webHidden/>
              </w:rPr>
              <w:fldChar w:fldCharType="separate"/>
            </w:r>
            <w:r w:rsidR="00301A90">
              <w:rPr>
                <w:b w:val="0"/>
                <w:webHidden/>
              </w:rPr>
              <w:t>107</w:t>
            </w:r>
            <w:r w:rsidR="00EE4979" w:rsidRPr="00301A90">
              <w:rPr>
                <w:b w:val="0"/>
                <w:webHidden/>
              </w:rPr>
              <w:fldChar w:fldCharType="end"/>
            </w:r>
          </w:hyperlink>
        </w:p>
        <w:p w:rsidR="00EE4979" w:rsidRPr="00301A90" w:rsidRDefault="0036558A" w:rsidP="00EE4979">
          <w:pPr>
            <w:pStyle w:val="TOC2"/>
            <w:rPr>
              <w:rFonts w:eastAsiaTheme="minorEastAsia"/>
              <w:b w:val="0"/>
            </w:rPr>
          </w:pPr>
          <w:hyperlink w:anchor="_Toc144820088" w:history="1">
            <w:r w:rsidR="00EE4979" w:rsidRPr="00301A90">
              <w:rPr>
                <w:rStyle w:val="Hyperlink"/>
                <w:b w:val="0"/>
              </w:rPr>
              <w:t>Appendix VI: Published paper With IJSR</w:t>
            </w:r>
            <w:r w:rsidR="00EE4979" w:rsidRPr="00301A90">
              <w:rPr>
                <w:b w:val="0"/>
                <w:webHidden/>
              </w:rPr>
              <w:tab/>
            </w:r>
            <w:r w:rsidR="00EE4979" w:rsidRPr="00301A90">
              <w:rPr>
                <w:b w:val="0"/>
                <w:webHidden/>
              </w:rPr>
              <w:fldChar w:fldCharType="begin"/>
            </w:r>
            <w:r w:rsidR="00EE4979" w:rsidRPr="00301A90">
              <w:rPr>
                <w:b w:val="0"/>
                <w:webHidden/>
              </w:rPr>
              <w:instrText xml:space="preserve"> PAGEREF _Toc144820088 \h </w:instrText>
            </w:r>
            <w:r w:rsidR="00EE4979" w:rsidRPr="00301A90">
              <w:rPr>
                <w:b w:val="0"/>
                <w:webHidden/>
              </w:rPr>
            </w:r>
            <w:r w:rsidR="00EE4979" w:rsidRPr="00301A90">
              <w:rPr>
                <w:b w:val="0"/>
                <w:webHidden/>
              </w:rPr>
              <w:fldChar w:fldCharType="separate"/>
            </w:r>
            <w:r w:rsidR="00301A90">
              <w:rPr>
                <w:b w:val="0"/>
                <w:webHidden/>
              </w:rPr>
              <w:t>108</w:t>
            </w:r>
            <w:r w:rsidR="00EE4979" w:rsidRPr="00301A90">
              <w:rPr>
                <w:b w:val="0"/>
                <w:webHidden/>
              </w:rPr>
              <w:fldChar w:fldCharType="end"/>
            </w:r>
          </w:hyperlink>
        </w:p>
        <w:p w:rsidR="00EE4979" w:rsidRPr="00301A90" w:rsidRDefault="0036558A" w:rsidP="00EE4979">
          <w:pPr>
            <w:pStyle w:val="TOC2"/>
            <w:rPr>
              <w:rFonts w:eastAsiaTheme="minorEastAsia"/>
              <w:b w:val="0"/>
            </w:rPr>
          </w:pPr>
          <w:hyperlink w:anchor="_Toc144820089" w:history="1">
            <w:r w:rsidR="00EE4979" w:rsidRPr="00301A90">
              <w:rPr>
                <w:rStyle w:val="Hyperlink"/>
                <w:b w:val="0"/>
              </w:rPr>
              <w:t>Appendix VII: Approval of Research Proposal</w:t>
            </w:r>
            <w:r w:rsidR="00EE4979" w:rsidRPr="00301A90">
              <w:rPr>
                <w:b w:val="0"/>
                <w:webHidden/>
              </w:rPr>
              <w:tab/>
            </w:r>
            <w:r w:rsidR="00EE4979" w:rsidRPr="00301A90">
              <w:rPr>
                <w:b w:val="0"/>
                <w:webHidden/>
              </w:rPr>
              <w:fldChar w:fldCharType="begin"/>
            </w:r>
            <w:r w:rsidR="00EE4979" w:rsidRPr="00301A90">
              <w:rPr>
                <w:b w:val="0"/>
                <w:webHidden/>
              </w:rPr>
              <w:instrText xml:space="preserve"> PAGEREF _Toc144820089 \h </w:instrText>
            </w:r>
            <w:r w:rsidR="00EE4979" w:rsidRPr="00301A90">
              <w:rPr>
                <w:b w:val="0"/>
                <w:webHidden/>
              </w:rPr>
            </w:r>
            <w:r w:rsidR="00EE4979" w:rsidRPr="00301A90">
              <w:rPr>
                <w:b w:val="0"/>
                <w:webHidden/>
              </w:rPr>
              <w:fldChar w:fldCharType="separate"/>
            </w:r>
            <w:r w:rsidR="00301A90">
              <w:rPr>
                <w:b w:val="0"/>
                <w:webHidden/>
              </w:rPr>
              <w:t>109</w:t>
            </w:r>
            <w:r w:rsidR="00EE4979" w:rsidRPr="00301A90">
              <w:rPr>
                <w:b w:val="0"/>
                <w:webHidden/>
              </w:rPr>
              <w:fldChar w:fldCharType="end"/>
            </w:r>
          </w:hyperlink>
        </w:p>
        <w:p w:rsidR="00EE4979" w:rsidRPr="00301A90" w:rsidRDefault="0036558A" w:rsidP="00EE4979">
          <w:pPr>
            <w:pStyle w:val="TOC2"/>
            <w:rPr>
              <w:rFonts w:eastAsiaTheme="minorEastAsia"/>
              <w:b w:val="0"/>
            </w:rPr>
          </w:pPr>
          <w:hyperlink w:anchor="_Toc144820090" w:history="1">
            <w:r w:rsidR="00EE4979" w:rsidRPr="00301A90">
              <w:rPr>
                <w:rStyle w:val="Hyperlink"/>
                <w:b w:val="0"/>
              </w:rPr>
              <w:t>Appendix VIII: Research Authorization</w:t>
            </w:r>
            <w:r w:rsidR="00EE4979" w:rsidRPr="00301A90">
              <w:rPr>
                <w:b w:val="0"/>
                <w:webHidden/>
              </w:rPr>
              <w:tab/>
            </w:r>
            <w:r w:rsidR="00EE4979" w:rsidRPr="00301A90">
              <w:rPr>
                <w:b w:val="0"/>
                <w:webHidden/>
              </w:rPr>
              <w:fldChar w:fldCharType="begin"/>
            </w:r>
            <w:r w:rsidR="00EE4979" w:rsidRPr="00301A90">
              <w:rPr>
                <w:b w:val="0"/>
                <w:webHidden/>
              </w:rPr>
              <w:instrText xml:space="preserve"> PAGEREF _Toc144820090 \h </w:instrText>
            </w:r>
            <w:r w:rsidR="00EE4979" w:rsidRPr="00301A90">
              <w:rPr>
                <w:b w:val="0"/>
                <w:webHidden/>
              </w:rPr>
            </w:r>
            <w:r w:rsidR="00EE4979" w:rsidRPr="00301A90">
              <w:rPr>
                <w:b w:val="0"/>
                <w:webHidden/>
              </w:rPr>
              <w:fldChar w:fldCharType="separate"/>
            </w:r>
            <w:r w:rsidR="00301A90">
              <w:rPr>
                <w:b w:val="0"/>
                <w:webHidden/>
              </w:rPr>
              <w:t>110</w:t>
            </w:r>
            <w:r w:rsidR="00EE4979" w:rsidRPr="00301A90">
              <w:rPr>
                <w:b w:val="0"/>
                <w:webHidden/>
              </w:rPr>
              <w:fldChar w:fldCharType="end"/>
            </w:r>
          </w:hyperlink>
        </w:p>
        <w:p w:rsidR="00F934C1" w:rsidRPr="00C323D5" w:rsidRDefault="00C226E6" w:rsidP="00CA74D2">
          <w:pPr>
            <w:tabs>
              <w:tab w:val="right" w:leader="dot" w:pos="8162"/>
            </w:tabs>
            <w:spacing w:after="240" w:line="360" w:lineRule="auto"/>
            <w:jc w:val="left"/>
          </w:pPr>
          <w:r w:rsidRPr="00441D11">
            <w:fldChar w:fldCharType="end"/>
          </w:r>
        </w:p>
        <w:p w:rsidR="00F934C1" w:rsidRPr="00B87ACD" w:rsidRDefault="0036558A" w:rsidP="00F934C1">
          <w:pPr>
            <w:spacing w:line="240" w:lineRule="auto"/>
            <w:jc w:val="center"/>
            <w:rPr>
              <w:color w:val="000000" w:themeColor="text1"/>
            </w:rPr>
          </w:pPr>
        </w:p>
      </w:sdtContent>
    </w:sdt>
    <w:p w:rsidR="00F934C1" w:rsidRDefault="00F934C1" w:rsidP="00F934C1">
      <w:pPr>
        <w:autoSpaceDE/>
        <w:autoSpaceDN/>
        <w:adjustRightInd/>
        <w:spacing w:line="240" w:lineRule="auto"/>
        <w:jc w:val="left"/>
      </w:pPr>
      <w:r w:rsidRPr="00485066">
        <w:br w:type="page"/>
      </w:r>
      <w:r w:rsidR="00B753C2">
        <w:fldChar w:fldCharType="begin"/>
      </w:r>
      <w:r w:rsidR="00B753C2">
        <w:instrText xml:space="preserve"> TOC \f F \h \z \t "Caption" \c </w:instrText>
      </w:r>
      <w:r w:rsidR="00B753C2">
        <w:fldChar w:fldCharType="end"/>
      </w:r>
    </w:p>
    <w:p w:rsidR="00F934C1" w:rsidRPr="00621E85" w:rsidRDefault="00F934C1" w:rsidP="00F934C1">
      <w:pPr>
        <w:pStyle w:val="Heading1"/>
      </w:pPr>
      <w:bookmarkStart w:id="34" w:name="_Toc144819986"/>
      <w:bookmarkStart w:id="35" w:name="_Toc62228676"/>
      <w:bookmarkStart w:id="36" w:name="_Toc68435183"/>
      <w:bookmarkStart w:id="37" w:name="_Toc85447075"/>
      <w:bookmarkStart w:id="38" w:name="_Toc85455557"/>
      <w:bookmarkStart w:id="39" w:name="_Toc112877957"/>
      <w:bookmarkStart w:id="40" w:name="_Toc112880590"/>
      <w:bookmarkStart w:id="41" w:name="_Toc117003055"/>
      <w:r w:rsidRPr="00621E85">
        <w:lastRenderedPageBreak/>
        <w:t>LIST OF TABLES</w:t>
      </w:r>
      <w:bookmarkEnd w:id="34"/>
    </w:p>
    <w:p w:rsidR="006570E1" w:rsidRDefault="00C226E6" w:rsidP="00CB0819">
      <w:pPr>
        <w:pStyle w:val="TableofFigures"/>
        <w:spacing w:before="240"/>
        <w:rPr>
          <w:rFonts w:asciiTheme="minorHAnsi" w:eastAsiaTheme="minorEastAsia" w:hAnsiTheme="minorHAnsi" w:cstheme="minorBidi"/>
          <w:noProof/>
          <w:sz w:val="22"/>
          <w:szCs w:val="22"/>
        </w:rPr>
      </w:pPr>
      <w:r>
        <w:fldChar w:fldCharType="begin"/>
      </w:r>
      <w:r w:rsidR="00F934C1">
        <w:instrText xml:space="preserve"> TOC \h \z \t "Heading 4" \c </w:instrText>
      </w:r>
      <w:r>
        <w:fldChar w:fldCharType="separate"/>
      </w:r>
      <w:hyperlink w:anchor="_Toc144222332" w:history="1">
        <w:r w:rsidR="003629A5">
          <w:rPr>
            <w:rStyle w:val="Hyperlink"/>
            <w:rFonts w:eastAsiaTheme="majorEastAsia"/>
            <w:noProof/>
          </w:rPr>
          <w:t>Table 4.</w:t>
        </w:r>
        <w:r w:rsidR="006570E1" w:rsidRPr="009C3895">
          <w:rPr>
            <w:rStyle w:val="Hyperlink"/>
            <w:rFonts w:eastAsiaTheme="majorEastAsia"/>
            <w:noProof/>
          </w:rPr>
          <w:t>1: Method Validation parameters</w:t>
        </w:r>
        <w:r w:rsidR="006570E1">
          <w:rPr>
            <w:noProof/>
            <w:webHidden/>
          </w:rPr>
          <w:tab/>
        </w:r>
        <w:r>
          <w:rPr>
            <w:noProof/>
            <w:webHidden/>
          </w:rPr>
          <w:fldChar w:fldCharType="begin"/>
        </w:r>
        <w:r w:rsidR="006570E1">
          <w:rPr>
            <w:noProof/>
            <w:webHidden/>
          </w:rPr>
          <w:instrText xml:space="preserve"> PAGEREF _Toc144222332 \h </w:instrText>
        </w:r>
        <w:r>
          <w:rPr>
            <w:noProof/>
            <w:webHidden/>
          </w:rPr>
        </w:r>
        <w:r>
          <w:rPr>
            <w:noProof/>
            <w:webHidden/>
          </w:rPr>
          <w:fldChar w:fldCharType="separate"/>
        </w:r>
        <w:r w:rsidR="00301A90">
          <w:rPr>
            <w:noProof/>
            <w:webHidden/>
          </w:rPr>
          <w:t>44</w:t>
        </w:r>
        <w:r>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33" w:history="1">
        <w:r w:rsidR="006570E1" w:rsidRPr="009C3895">
          <w:rPr>
            <w:rStyle w:val="Hyperlink"/>
            <w:rFonts w:eastAsiaTheme="majorEastAsia"/>
            <w:noProof/>
          </w:rPr>
          <w:t>Table 4.2: Nano-fertilizer particle sizes determined from XRD analysis</w:t>
        </w:r>
        <w:r w:rsidR="006570E1">
          <w:rPr>
            <w:noProof/>
            <w:webHidden/>
          </w:rPr>
          <w:tab/>
        </w:r>
        <w:r w:rsidR="00C226E6">
          <w:rPr>
            <w:noProof/>
            <w:webHidden/>
          </w:rPr>
          <w:fldChar w:fldCharType="begin"/>
        </w:r>
        <w:r w:rsidR="006570E1">
          <w:rPr>
            <w:noProof/>
            <w:webHidden/>
          </w:rPr>
          <w:instrText xml:space="preserve"> PAGEREF _Toc144222333 \h </w:instrText>
        </w:r>
        <w:r w:rsidR="00C226E6">
          <w:rPr>
            <w:noProof/>
            <w:webHidden/>
          </w:rPr>
        </w:r>
        <w:r w:rsidR="00C226E6">
          <w:rPr>
            <w:noProof/>
            <w:webHidden/>
          </w:rPr>
          <w:fldChar w:fldCharType="separate"/>
        </w:r>
        <w:r w:rsidR="00301A90">
          <w:rPr>
            <w:noProof/>
            <w:webHidden/>
          </w:rPr>
          <w:t>50</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34" w:history="1">
        <w:r w:rsidR="006570E1" w:rsidRPr="009C3895">
          <w:rPr>
            <w:rStyle w:val="Hyperlink"/>
            <w:rFonts w:eastAsiaTheme="majorEastAsia"/>
            <w:noProof/>
          </w:rPr>
          <w:t xml:space="preserve">Table 4.3: </w:t>
        </w:r>
        <w:r w:rsidR="006570E1" w:rsidRPr="009C3895">
          <w:rPr>
            <w:rStyle w:val="Hyperlink"/>
            <w:rFonts w:eastAsiaTheme="majorEastAsia"/>
            <w:noProof/>
            <w:lang w:eastAsia="sw-KE"/>
          </w:rPr>
          <w:t>Levels of cadmium in kale leaves grown using nano-fertilizers at 30, 60 and 90 day</w:t>
        </w:r>
        <w:r w:rsidR="006570E1">
          <w:rPr>
            <w:noProof/>
            <w:webHidden/>
          </w:rPr>
          <w:tab/>
        </w:r>
        <w:r w:rsidR="00C226E6">
          <w:rPr>
            <w:noProof/>
            <w:webHidden/>
          </w:rPr>
          <w:fldChar w:fldCharType="begin"/>
        </w:r>
        <w:r w:rsidR="006570E1">
          <w:rPr>
            <w:noProof/>
            <w:webHidden/>
          </w:rPr>
          <w:instrText xml:space="preserve"> PAGEREF _Toc144222334 \h </w:instrText>
        </w:r>
        <w:r w:rsidR="00C226E6">
          <w:rPr>
            <w:noProof/>
            <w:webHidden/>
          </w:rPr>
        </w:r>
        <w:r w:rsidR="00C226E6">
          <w:rPr>
            <w:noProof/>
            <w:webHidden/>
          </w:rPr>
          <w:fldChar w:fldCharType="separate"/>
        </w:r>
        <w:r w:rsidR="00301A90">
          <w:rPr>
            <w:noProof/>
            <w:webHidden/>
          </w:rPr>
          <w:t>54</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35" w:history="1">
        <w:r w:rsidR="006570E1" w:rsidRPr="009C3895">
          <w:rPr>
            <w:rStyle w:val="Hyperlink"/>
            <w:rFonts w:eastAsiaTheme="majorEastAsia"/>
            <w:noProof/>
          </w:rPr>
          <w:t>Table 4.4:</w:t>
        </w:r>
        <w:r w:rsidR="006570E1" w:rsidRPr="009C3895">
          <w:rPr>
            <w:rStyle w:val="Hyperlink"/>
            <w:rFonts w:eastAsiaTheme="majorEastAsia"/>
            <w:noProof/>
            <w:lang w:eastAsia="sw-KE"/>
          </w:rPr>
          <w:t xml:space="preserve"> Levels of cadmium in spinach leaves grown using nano-fertilizers at 30, 60 and 90 day</w:t>
        </w:r>
        <w:r w:rsidR="006570E1">
          <w:rPr>
            <w:noProof/>
            <w:webHidden/>
          </w:rPr>
          <w:tab/>
        </w:r>
        <w:r w:rsidR="00C226E6">
          <w:rPr>
            <w:noProof/>
            <w:webHidden/>
          </w:rPr>
          <w:fldChar w:fldCharType="begin"/>
        </w:r>
        <w:r w:rsidR="006570E1">
          <w:rPr>
            <w:noProof/>
            <w:webHidden/>
          </w:rPr>
          <w:instrText xml:space="preserve"> PAGEREF _Toc144222335 \h </w:instrText>
        </w:r>
        <w:r w:rsidR="00C226E6">
          <w:rPr>
            <w:noProof/>
            <w:webHidden/>
          </w:rPr>
        </w:r>
        <w:r w:rsidR="00C226E6">
          <w:rPr>
            <w:noProof/>
            <w:webHidden/>
          </w:rPr>
          <w:fldChar w:fldCharType="separate"/>
        </w:r>
        <w:r w:rsidR="00301A90">
          <w:rPr>
            <w:noProof/>
            <w:webHidden/>
          </w:rPr>
          <w:t>55</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36" w:history="1">
        <w:r w:rsidR="006570E1" w:rsidRPr="009C3895">
          <w:rPr>
            <w:rStyle w:val="Hyperlink"/>
            <w:rFonts w:eastAsiaTheme="majorEastAsia"/>
            <w:noProof/>
          </w:rPr>
          <w:t>Table 4.5:</w:t>
        </w:r>
        <w:r w:rsidR="006570E1" w:rsidRPr="009C3895">
          <w:rPr>
            <w:rStyle w:val="Hyperlink"/>
            <w:rFonts w:eastAsiaTheme="majorEastAsia"/>
            <w:noProof/>
            <w:lang w:eastAsia="sw-KE"/>
          </w:rPr>
          <w:t xml:space="preserve"> Levels of cadmium in bean leaves grown using nano-fertilizers at 30, 60 and 90 day</w:t>
        </w:r>
        <w:r w:rsidR="006570E1">
          <w:rPr>
            <w:noProof/>
            <w:webHidden/>
          </w:rPr>
          <w:tab/>
        </w:r>
        <w:r w:rsidR="00C226E6">
          <w:rPr>
            <w:noProof/>
            <w:webHidden/>
          </w:rPr>
          <w:fldChar w:fldCharType="begin"/>
        </w:r>
        <w:r w:rsidR="006570E1">
          <w:rPr>
            <w:noProof/>
            <w:webHidden/>
          </w:rPr>
          <w:instrText xml:space="preserve"> PAGEREF _Toc144222336 \h </w:instrText>
        </w:r>
        <w:r w:rsidR="00C226E6">
          <w:rPr>
            <w:noProof/>
            <w:webHidden/>
          </w:rPr>
        </w:r>
        <w:r w:rsidR="00C226E6">
          <w:rPr>
            <w:noProof/>
            <w:webHidden/>
          </w:rPr>
          <w:fldChar w:fldCharType="separate"/>
        </w:r>
        <w:r w:rsidR="00301A90">
          <w:rPr>
            <w:noProof/>
            <w:webHidden/>
          </w:rPr>
          <w:t>56</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37" w:history="1">
        <w:r w:rsidR="006570E1" w:rsidRPr="009C3895">
          <w:rPr>
            <w:rStyle w:val="Hyperlink"/>
            <w:rFonts w:eastAsiaTheme="majorEastAsia"/>
            <w:noProof/>
          </w:rPr>
          <w:t>Table 4.6:</w:t>
        </w:r>
        <w:r w:rsidR="006570E1" w:rsidRPr="009C3895">
          <w:rPr>
            <w:rStyle w:val="Hyperlink"/>
            <w:rFonts w:eastAsiaTheme="majorEastAsia"/>
            <w:noProof/>
            <w:lang w:eastAsia="sw-KE"/>
          </w:rPr>
          <w:t xml:space="preserve"> Comparison of cadmium uptake in bean, kale and spinach leaves grown using nano-fertilizers at 90</w:t>
        </w:r>
        <w:r w:rsidR="006570E1" w:rsidRPr="009C3895">
          <w:rPr>
            <w:rStyle w:val="Hyperlink"/>
            <w:rFonts w:eastAsiaTheme="majorEastAsia"/>
            <w:noProof/>
            <w:vertAlign w:val="superscript"/>
            <w:lang w:eastAsia="sw-KE"/>
          </w:rPr>
          <w:t>th</w:t>
        </w:r>
        <w:r w:rsidR="006570E1" w:rsidRPr="009C3895">
          <w:rPr>
            <w:rStyle w:val="Hyperlink"/>
            <w:rFonts w:eastAsiaTheme="majorEastAsia"/>
            <w:noProof/>
            <w:lang w:eastAsia="sw-KE"/>
          </w:rPr>
          <w:t xml:space="preserve"> day</w:t>
        </w:r>
        <w:r w:rsidR="006570E1">
          <w:rPr>
            <w:noProof/>
            <w:webHidden/>
          </w:rPr>
          <w:tab/>
        </w:r>
        <w:r w:rsidR="00C226E6">
          <w:rPr>
            <w:noProof/>
            <w:webHidden/>
          </w:rPr>
          <w:fldChar w:fldCharType="begin"/>
        </w:r>
        <w:r w:rsidR="006570E1">
          <w:rPr>
            <w:noProof/>
            <w:webHidden/>
          </w:rPr>
          <w:instrText xml:space="preserve"> PAGEREF _Toc144222337 \h </w:instrText>
        </w:r>
        <w:r w:rsidR="00C226E6">
          <w:rPr>
            <w:noProof/>
            <w:webHidden/>
          </w:rPr>
        </w:r>
        <w:r w:rsidR="00C226E6">
          <w:rPr>
            <w:noProof/>
            <w:webHidden/>
          </w:rPr>
          <w:fldChar w:fldCharType="separate"/>
        </w:r>
        <w:r w:rsidR="00301A90">
          <w:rPr>
            <w:noProof/>
            <w:webHidden/>
          </w:rPr>
          <w:t>57</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38" w:history="1">
        <w:r w:rsidR="006570E1" w:rsidRPr="009C3895">
          <w:rPr>
            <w:rStyle w:val="Hyperlink"/>
            <w:rFonts w:eastAsiaTheme="majorEastAsia"/>
            <w:noProof/>
          </w:rPr>
          <w:t xml:space="preserve">Table 4.7: </w:t>
        </w:r>
        <w:r w:rsidR="006570E1" w:rsidRPr="009C3895">
          <w:rPr>
            <w:rStyle w:val="Hyperlink"/>
            <w:rFonts w:eastAsiaTheme="majorEastAsia"/>
            <w:noProof/>
            <w:lang w:eastAsia="sw-KE"/>
          </w:rPr>
          <w:t>Levels of lead in kale leave grown using nano-fertilizers at 30, 60 and 90 day</w:t>
        </w:r>
        <w:r w:rsidR="006570E1">
          <w:rPr>
            <w:noProof/>
            <w:webHidden/>
          </w:rPr>
          <w:tab/>
        </w:r>
        <w:r w:rsidR="00C226E6">
          <w:rPr>
            <w:noProof/>
            <w:webHidden/>
          </w:rPr>
          <w:fldChar w:fldCharType="begin"/>
        </w:r>
        <w:r w:rsidR="006570E1">
          <w:rPr>
            <w:noProof/>
            <w:webHidden/>
          </w:rPr>
          <w:instrText xml:space="preserve"> PAGEREF _Toc144222338 \h </w:instrText>
        </w:r>
        <w:r w:rsidR="00C226E6">
          <w:rPr>
            <w:noProof/>
            <w:webHidden/>
          </w:rPr>
        </w:r>
        <w:r w:rsidR="00C226E6">
          <w:rPr>
            <w:noProof/>
            <w:webHidden/>
          </w:rPr>
          <w:fldChar w:fldCharType="separate"/>
        </w:r>
        <w:r w:rsidR="00301A90">
          <w:rPr>
            <w:noProof/>
            <w:webHidden/>
          </w:rPr>
          <w:t>60</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39" w:history="1">
        <w:r w:rsidR="006570E1" w:rsidRPr="009C3895">
          <w:rPr>
            <w:rStyle w:val="Hyperlink"/>
            <w:rFonts w:eastAsiaTheme="majorEastAsia"/>
            <w:noProof/>
          </w:rPr>
          <w:t xml:space="preserve">Table 4.8: </w:t>
        </w:r>
        <w:r w:rsidR="006570E1" w:rsidRPr="009C3895">
          <w:rPr>
            <w:rStyle w:val="Hyperlink"/>
            <w:rFonts w:eastAsiaTheme="majorEastAsia"/>
            <w:noProof/>
            <w:lang w:eastAsia="sw-KE"/>
          </w:rPr>
          <w:t>Levels of lead in spinach leaves grown using nano-fertilizers at 30, 60 and 90 day</w:t>
        </w:r>
        <w:r w:rsidR="006570E1">
          <w:rPr>
            <w:noProof/>
            <w:webHidden/>
          </w:rPr>
          <w:tab/>
        </w:r>
        <w:r w:rsidR="00C226E6">
          <w:rPr>
            <w:noProof/>
            <w:webHidden/>
          </w:rPr>
          <w:fldChar w:fldCharType="begin"/>
        </w:r>
        <w:r w:rsidR="006570E1">
          <w:rPr>
            <w:noProof/>
            <w:webHidden/>
          </w:rPr>
          <w:instrText xml:space="preserve"> PAGEREF _Toc144222339 \h </w:instrText>
        </w:r>
        <w:r w:rsidR="00C226E6">
          <w:rPr>
            <w:noProof/>
            <w:webHidden/>
          </w:rPr>
        </w:r>
        <w:r w:rsidR="00C226E6">
          <w:rPr>
            <w:noProof/>
            <w:webHidden/>
          </w:rPr>
          <w:fldChar w:fldCharType="separate"/>
        </w:r>
        <w:r w:rsidR="00301A90">
          <w:rPr>
            <w:noProof/>
            <w:webHidden/>
          </w:rPr>
          <w:t>61</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0" w:history="1">
        <w:r w:rsidR="006570E1" w:rsidRPr="009C3895">
          <w:rPr>
            <w:rStyle w:val="Hyperlink"/>
            <w:rFonts w:eastAsiaTheme="majorEastAsia"/>
            <w:noProof/>
          </w:rPr>
          <w:t>Table 4.9:</w:t>
        </w:r>
        <w:r w:rsidR="006570E1" w:rsidRPr="009C3895">
          <w:rPr>
            <w:rStyle w:val="Hyperlink"/>
            <w:rFonts w:eastAsiaTheme="majorEastAsia"/>
            <w:noProof/>
            <w:lang w:eastAsia="sw-KE"/>
          </w:rPr>
          <w:t xml:space="preserve"> Levels of lead in bean leaves grown using nano-fertilizers at 30, 60 and 90 day</w:t>
        </w:r>
        <w:r w:rsidR="006570E1">
          <w:rPr>
            <w:noProof/>
            <w:webHidden/>
          </w:rPr>
          <w:tab/>
        </w:r>
        <w:r w:rsidR="00C226E6">
          <w:rPr>
            <w:noProof/>
            <w:webHidden/>
          </w:rPr>
          <w:fldChar w:fldCharType="begin"/>
        </w:r>
        <w:r w:rsidR="006570E1">
          <w:rPr>
            <w:noProof/>
            <w:webHidden/>
          </w:rPr>
          <w:instrText xml:space="preserve"> PAGEREF _Toc144222340 \h </w:instrText>
        </w:r>
        <w:r w:rsidR="00C226E6">
          <w:rPr>
            <w:noProof/>
            <w:webHidden/>
          </w:rPr>
        </w:r>
        <w:r w:rsidR="00C226E6">
          <w:rPr>
            <w:noProof/>
            <w:webHidden/>
          </w:rPr>
          <w:fldChar w:fldCharType="separate"/>
        </w:r>
        <w:r w:rsidR="00301A90">
          <w:rPr>
            <w:noProof/>
            <w:webHidden/>
          </w:rPr>
          <w:t>62</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1" w:history="1">
        <w:r w:rsidR="006570E1" w:rsidRPr="009C3895">
          <w:rPr>
            <w:rStyle w:val="Hyperlink"/>
            <w:rFonts w:eastAsiaTheme="majorEastAsia"/>
            <w:noProof/>
          </w:rPr>
          <w:t>Table 4.10:</w:t>
        </w:r>
        <w:r w:rsidR="006570E1" w:rsidRPr="009C3895">
          <w:rPr>
            <w:rStyle w:val="Hyperlink"/>
            <w:rFonts w:eastAsiaTheme="majorEastAsia"/>
            <w:noProof/>
            <w:lang w:eastAsia="sw-KE"/>
          </w:rPr>
          <w:t xml:space="preserve"> Comparison of lead uptake in bean, kale and spinach leaves grown using nano-fertilizers at 90</w:t>
        </w:r>
        <w:r w:rsidR="006570E1" w:rsidRPr="009C3895">
          <w:rPr>
            <w:rStyle w:val="Hyperlink"/>
            <w:rFonts w:eastAsiaTheme="majorEastAsia"/>
            <w:noProof/>
            <w:vertAlign w:val="superscript"/>
            <w:lang w:eastAsia="sw-KE"/>
          </w:rPr>
          <w:t>th</w:t>
        </w:r>
        <w:r w:rsidR="006570E1" w:rsidRPr="009C3895">
          <w:rPr>
            <w:rStyle w:val="Hyperlink"/>
            <w:rFonts w:eastAsiaTheme="majorEastAsia"/>
            <w:noProof/>
            <w:lang w:eastAsia="sw-KE"/>
          </w:rPr>
          <w:t xml:space="preserve"> day</w:t>
        </w:r>
        <w:r w:rsidR="006570E1">
          <w:rPr>
            <w:noProof/>
            <w:webHidden/>
          </w:rPr>
          <w:tab/>
        </w:r>
        <w:r w:rsidR="00C226E6">
          <w:rPr>
            <w:noProof/>
            <w:webHidden/>
          </w:rPr>
          <w:fldChar w:fldCharType="begin"/>
        </w:r>
        <w:r w:rsidR="006570E1">
          <w:rPr>
            <w:noProof/>
            <w:webHidden/>
          </w:rPr>
          <w:instrText xml:space="preserve"> PAGEREF _Toc144222341 \h </w:instrText>
        </w:r>
        <w:r w:rsidR="00C226E6">
          <w:rPr>
            <w:noProof/>
            <w:webHidden/>
          </w:rPr>
        </w:r>
        <w:r w:rsidR="00C226E6">
          <w:rPr>
            <w:noProof/>
            <w:webHidden/>
          </w:rPr>
          <w:fldChar w:fldCharType="separate"/>
        </w:r>
        <w:r w:rsidR="00301A90">
          <w:rPr>
            <w:noProof/>
            <w:webHidden/>
          </w:rPr>
          <w:t>63</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2" w:history="1">
        <w:r w:rsidR="006570E1" w:rsidRPr="009C3895">
          <w:rPr>
            <w:rStyle w:val="Hyperlink"/>
            <w:rFonts w:eastAsiaTheme="majorEastAsia"/>
            <w:noProof/>
          </w:rPr>
          <w:t>Table 4.11</w:t>
        </w:r>
        <w:r w:rsidR="006570E1" w:rsidRPr="009C3895">
          <w:rPr>
            <w:rStyle w:val="Hyperlink"/>
            <w:rFonts w:eastAsiaTheme="majorEastAsia"/>
            <w:noProof/>
            <w:lang w:eastAsia="sw-KE"/>
          </w:rPr>
          <w:t>: The 30, 60, 90 day Heights (cm) for kales grown using nano-fertilizers</w:t>
        </w:r>
        <w:r w:rsidR="006570E1">
          <w:rPr>
            <w:noProof/>
            <w:webHidden/>
          </w:rPr>
          <w:tab/>
        </w:r>
        <w:r w:rsidR="00C226E6">
          <w:rPr>
            <w:noProof/>
            <w:webHidden/>
          </w:rPr>
          <w:fldChar w:fldCharType="begin"/>
        </w:r>
        <w:r w:rsidR="006570E1">
          <w:rPr>
            <w:noProof/>
            <w:webHidden/>
          </w:rPr>
          <w:instrText xml:space="preserve"> PAGEREF _Toc144222342 \h </w:instrText>
        </w:r>
        <w:r w:rsidR="00C226E6">
          <w:rPr>
            <w:noProof/>
            <w:webHidden/>
          </w:rPr>
        </w:r>
        <w:r w:rsidR="00C226E6">
          <w:rPr>
            <w:noProof/>
            <w:webHidden/>
          </w:rPr>
          <w:fldChar w:fldCharType="separate"/>
        </w:r>
        <w:r w:rsidR="00301A90">
          <w:rPr>
            <w:noProof/>
            <w:webHidden/>
          </w:rPr>
          <w:t>66</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3" w:history="1">
        <w:r w:rsidR="006570E1" w:rsidRPr="009C3895">
          <w:rPr>
            <w:rStyle w:val="Hyperlink"/>
            <w:rFonts w:eastAsiaTheme="majorEastAsia"/>
            <w:noProof/>
          </w:rPr>
          <w:t>Table 4.12: The 30, 60, 90 day Heights (cm) for spinach grown using nano-fertilizers</w:t>
        </w:r>
        <w:r w:rsidR="006570E1">
          <w:rPr>
            <w:noProof/>
            <w:webHidden/>
          </w:rPr>
          <w:tab/>
        </w:r>
        <w:r w:rsidR="00C226E6">
          <w:rPr>
            <w:noProof/>
            <w:webHidden/>
          </w:rPr>
          <w:fldChar w:fldCharType="begin"/>
        </w:r>
        <w:r w:rsidR="006570E1">
          <w:rPr>
            <w:noProof/>
            <w:webHidden/>
          </w:rPr>
          <w:instrText xml:space="preserve"> PAGEREF _Toc144222343 \h </w:instrText>
        </w:r>
        <w:r w:rsidR="00C226E6">
          <w:rPr>
            <w:noProof/>
            <w:webHidden/>
          </w:rPr>
        </w:r>
        <w:r w:rsidR="00C226E6">
          <w:rPr>
            <w:noProof/>
            <w:webHidden/>
          </w:rPr>
          <w:fldChar w:fldCharType="separate"/>
        </w:r>
        <w:r w:rsidR="00301A90">
          <w:rPr>
            <w:noProof/>
            <w:webHidden/>
          </w:rPr>
          <w:t>67</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4" w:history="1">
        <w:r w:rsidR="006570E1" w:rsidRPr="009C3895">
          <w:rPr>
            <w:rStyle w:val="Hyperlink"/>
            <w:rFonts w:eastAsiaTheme="majorEastAsia"/>
            <w:noProof/>
          </w:rPr>
          <w:t>Table 4.13</w:t>
        </w:r>
        <w:r w:rsidR="006570E1" w:rsidRPr="009C3895">
          <w:rPr>
            <w:rStyle w:val="Hyperlink"/>
            <w:rFonts w:eastAsiaTheme="majorEastAsia"/>
            <w:noProof/>
            <w:lang w:eastAsia="sw-KE"/>
          </w:rPr>
          <w:t>: The 30, 60, 90 day Heights (cm) for bean grown using nano-fertilizers</w:t>
        </w:r>
        <w:r w:rsidR="006570E1">
          <w:rPr>
            <w:noProof/>
            <w:webHidden/>
          </w:rPr>
          <w:tab/>
        </w:r>
        <w:r w:rsidR="00C226E6">
          <w:rPr>
            <w:noProof/>
            <w:webHidden/>
          </w:rPr>
          <w:fldChar w:fldCharType="begin"/>
        </w:r>
        <w:r w:rsidR="006570E1">
          <w:rPr>
            <w:noProof/>
            <w:webHidden/>
          </w:rPr>
          <w:instrText xml:space="preserve"> PAGEREF _Toc144222344 \h </w:instrText>
        </w:r>
        <w:r w:rsidR="00C226E6">
          <w:rPr>
            <w:noProof/>
            <w:webHidden/>
          </w:rPr>
        </w:r>
        <w:r w:rsidR="00C226E6">
          <w:rPr>
            <w:noProof/>
            <w:webHidden/>
          </w:rPr>
          <w:fldChar w:fldCharType="separate"/>
        </w:r>
        <w:r w:rsidR="00301A90">
          <w:rPr>
            <w:noProof/>
            <w:webHidden/>
          </w:rPr>
          <w:t>68</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5" w:history="1">
        <w:r w:rsidR="006570E1" w:rsidRPr="009C3895">
          <w:rPr>
            <w:rStyle w:val="Hyperlink"/>
            <w:rFonts w:eastAsiaTheme="majorEastAsia"/>
            <w:noProof/>
          </w:rPr>
          <w:t>Table 4.14: The 90 day dry weight, leaf diameter and number of leaves in kales grown using nano-fertilizers</w:t>
        </w:r>
        <w:r w:rsidR="006570E1">
          <w:rPr>
            <w:noProof/>
            <w:webHidden/>
          </w:rPr>
          <w:tab/>
        </w:r>
        <w:r w:rsidR="00C226E6">
          <w:rPr>
            <w:noProof/>
            <w:webHidden/>
          </w:rPr>
          <w:fldChar w:fldCharType="begin"/>
        </w:r>
        <w:r w:rsidR="006570E1">
          <w:rPr>
            <w:noProof/>
            <w:webHidden/>
          </w:rPr>
          <w:instrText xml:space="preserve"> PAGEREF _Toc144222345 \h </w:instrText>
        </w:r>
        <w:r w:rsidR="00C226E6">
          <w:rPr>
            <w:noProof/>
            <w:webHidden/>
          </w:rPr>
        </w:r>
        <w:r w:rsidR="00C226E6">
          <w:rPr>
            <w:noProof/>
            <w:webHidden/>
          </w:rPr>
          <w:fldChar w:fldCharType="separate"/>
        </w:r>
        <w:r w:rsidR="00301A90">
          <w:rPr>
            <w:noProof/>
            <w:webHidden/>
          </w:rPr>
          <w:t>71</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6" w:history="1">
        <w:r w:rsidR="006570E1" w:rsidRPr="009C3895">
          <w:rPr>
            <w:rStyle w:val="Hyperlink"/>
            <w:rFonts w:eastAsiaTheme="majorEastAsia"/>
            <w:noProof/>
          </w:rPr>
          <w:t>Table 4.15: The 90 day dry weight, leaf diameter, number of pods and number of leaves in beans grown using nano-fertilizers</w:t>
        </w:r>
        <w:r w:rsidR="006570E1">
          <w:rPr>
            <w:noProof/>
            <w:webHidden/>
          </w:rPr>
          <w:tab/>
        </w:r>
        <w:r w:rsidR="00C226E6">
          <w:rPr>
            <w:noProof/>
            <w:webHidden/>
          </w:rPr>
          <w:fldChar w:fldCharType="begin"/>
        </w:r>
        <w:r w:rsidR="006570E1">
          <w:rPr>
            <w:noProof/>
            <w:webHidden/>
          </w:rPr>
          <w:instrText xml:space="preserve"> PAGEREF _Toc144222346 \h </w:instrText>
        </w:r>
        <w:r w:rsidR="00C226E6">
          <w:rPr>
            <w:noProof/>
            <w:webHidden/>
          </w:rPr>
        </w:r>
        <w:r w:rsidR="00C226E6">
          <w:rPr>
            <w:noProof/>
            <w:webHidden/>
          </w:rPr>
          <w:fldChar w:fldCharType="separate"/>
        </w:r>
        <w:r w:rsidR="00301A90">
          <w:rPr>
            <w:noProof/>
            <w:webHidden/>
          </w:rPr>
          <w:t>72</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7" w:history="1">
        <w:r w:rsidR="006570E1" w:rsidRPr="009C3895">
          <w:rPr>
            <w:rStyle w:val="Hyperlink"/>
            <w:rFonts w:eastAsiaTheme="majorEastAsia"/>
            <w:noProof/>
          </w:rPr>
          <w:t>Table 4.16: The 90 day dry weight, leaf diameter and number of leaves in spinach grown using nano-fertilizers</w:t>
        </w:r>
        <w:r w:rsidR="006570E1">
          <w:rPr>
            <w:noProof/>
            <w:webHidden/>
          </w:rPr>
          <w:tab/>
        </w:r>
        <w:r w:rsidR="00C226E6">
          <w:rPr>
            <w:noProof/>
            <w:webHidden/>
          </w:rPr>
          <w:fldChar w:fldCharType="begin"/>
        </w:r>
        <w:r w:rsidR="006570E1">
          <w:rPr>
            <w:noProof/>
            <w:webHidden/>
          </w:rPr>
          <w:instrText xml:space="preserve"> PAGEREF _Toc144222347 \h </w:instrText>
        </w:r>
        <w:r w:rsidR="00C226E6">
          <w:rPr>
            <w:noProof/>
            <w:webHidden/>
          </w:rPr>
        </w:r>
        <w:r w:rsidR="00C226E6">
          <w:rPr>
            <w:noProof/>
            <w:webHidden/>
          </w:rPr>
          <w:fldChar w:fldCharType="separate"/>
        </w:r>
        <w:r w:rsidR="00301A90">
          <w:rPr>
            <w:noProof/>
            <w:webHidden/>
          </w:rPr>
          <w:t>73</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8" w:history="1">
        <w:r w:rsidR="006570E1" w:rsidRPr="009C3895">
          <w:rPr>
            <w:rStyle w:val="Hyperlink"/>
            <w:rFonts w:eastAsiaTheme="majorEastAsia"/>
            <w:noProof/>
          </w:rPr>
          <w:t>Table 4.17: Langmuir and Freundlich Cd</w:t>
        </w:r>
        <w:r w:rsidR="006570E1" w:rsidRPr="009C3895">
          <w:rPr>
            <w:rStyle w:val="Hyperlink"/>
            <w:rFonts w:eastAsiaTheme="majorEastAsia"/>
            <w:noProof/>
            <w:vertAlign w:val="superscript"/>
          </w:rPr>
          <w:t>2+</w:t>
        </w:r>
        <w:r w:rsidR="006570E1" w:rsidRPr="009C3895">
          <w:rPr>
            <w:rStyle w:val="Hyperlink"/>
            <w:rFonts w:eastAsiaTheme="majorEastAsia"/>
            <w:noProof/>
          </w:rPr>
          <w:t>adsorption isotherm parameter models</w:t>
        </w:r>
        <w:r w:rsidR="006570E1">
          <w:rPr>
            <w:noProof/>
            <w:webHidden/>
          </w:rPr>
          <w:tab/>
        </w:r>
        <w:r w:rsidR="00C226E6">
          <w:rPr>
            <w:noProof/>
            <w:webHidden/>
          </w:rPr>
          <w:fldChar w:fldCharType="begin"/>
        </w:r>
        <w:r w:rsidR="006570E1">
          <w:rPr>
            <w:noProof/>
            <w:webHidden/>
          </w:rPr>
          <w:instrText xml:space="preserve"> PAGEREF _Toc144222348 \h </w:instrText>
        </w:r>
        <w:r w:rsidR="00C226E6">
          <w:rPr>
            <w:noProof/>
            <w:webHidden/>
          </w:rPr>
        </w:r>
        <w:r w:rsidR="00C226E6">
          <w:rPr>
            <w:noProof/>
            <w:webHidden/>
          </w:rPr>
          <w:fldChar w:fldCharType="separate"/>
        </w:r>
        <w:r w:rsidR="00301A90">
          <w:rPr>
            <w:noProof/>
            <w:webHidden/>
          </w:rPr>
          <w:t>80</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49" w:history="1">
        <w:r w:rsidR="006570E1" w:rsidRPr="009C3895">
          <w:rPr>
            <w:rStyle w:val="Hyperlink"/>
            <w:rFonts w:eastAsiaTheme="majorEastAsia"/>
            <w:noProof/>
          </w:rPr>
          <w:t>Table 4.18: Results of Langmuir and Freundlich adsorption isotherm parameter model for Pb</w:t>
        </w:r>
        <w:r w:rsidR="006570E1" w:rsidRPr="009C3895">
          <w:rPr>
            <w:rStyle w:val="Hyperlink"/>
            <w:rFonts w:eastAsiaTheme="majorEastAsia"/>
            <w:noProof/>
            <w:vertAlign w:val="superscript"/>
          </w:rPr>
          <w:t>2+</w:t>
        </w:r>
        <w:r w:rsidR="006570E1">
          <w:rPr>
            <w:noProof/>
            <w:webHidden/>
          </w:rPr>
          <w:tab/>
        </w:r>
        <w:r w:rsidR="00C226E6">
          <w:rPr>
            <w:noProof/>
            <w:webHidden/>
          </w:rPr>
          <w:fldChar w:fldCharType="begin"/>
        </w:r>
        <w:r w:rsidR="006570E1">
          <w:rPr>
            <w:noProof/>
            <w:webHidden/>
          </w:rPr>
          <w:instrText xml:space="preserve"> PAGEREF _Toc144222349 \h </w:instrText>
        </w:r>
        <w:r w:rsidR="00C226E6">
          <w:rPr>
            <w:noProof/>
            <w:webHidden/>
          </w:rPr>
        </w:r>
        <w:r w:rsidR="00C226E6">
          <w:rPr>
            <w:noProof/>
            <w:webHidden/>
          </w:rPr>
          <w:fldChar w:fldCharType="separate"/>
        </w:r>
        <w:r w:rsidR="00301A90">
          <w:rPr>
            <w:noProof/>
            <w:webHidden/>
          </w:rPr>
          <w:t>82</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50" w:history="1">
        <w:r w:rsidR="006570E1" w:rsidRPr="009C3895">
          <w:rPr>
            <w:rStyle w:val="Hyperlink"/>
            <w:rFonts w:eastAsiaTheme="majorEastAsia"/>
            <w:noProof/>
          </w:rPr>
          <w:t>Table 4.19: Computed results of adsorption kinetic using pseudo first order equation</w:t>
        </w:r>
        <w:r w:rsidR="006570E1">
          <w:rPr>
            <w:noProof/>
            <w:webHidden/>
          </w:rPr>
          <w:tab/>
        </w:r>
        <w:r w:rsidR="00C226E6">
          <w:rPr>
            <w:noProof/>
            <w:webHidden/>
          </w:rPr>
          <w:fldChar w:fldCharType="begin"/>
        </w:r>
        <w:r w:rsidR="006570E1">
          <w:rPr>
            <w:noProof/>
            <w:webHidden/>
          </w:rPr>
          <w:instrText xml:space="preserve"> PAGEREF _Toc144222350 \h </w:instrText>
        </w:r>
        <w:r w:rsidR="00C226E6">
          <w:rPr>
            <w:noProof/>
            <w:webHidden/>
          </w:rPr>
        </w:r>
        <w:r w:rsidR="00C226E6">
          <w:rPr>
            <w:noProof/>
            <w:webHidden/>
          </w:rPr>
          <w:fldChar w:fldCharType="separate"/>
        </w:r>
        <w:r w:rsidR="00301A90">
          <w:rPr>
            <w:noProof/>
            <w:webHidden/>
          </w:rPr>
          <w:t>84</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51" w:history="1">
        <w:r w:rsidR="006570E1" w:rsidRPr="009C3895">
          <w:rPr>
            <w:rStyle w:val="Hyperlink"/>
            <w:rFonts w:eastAsiaTheme="majorEastAsia"/>
            <w:noProof/>
          </w:rPr>
          <w:t>Table 4.20: Second order pseudo kinetic parameters</w:t>
        </w:r>
        <w:r w:rsidR="006570E1">
          <w:rPr>
            <w:noProof/>
            <w:webHidden/>
          </w:rPr>
          <w:tab/>
        </w:r>
        <w:r w:rsidR="00C226E6">
          <w:rPr>
            <w:noProof/>
            <w:webHidden/>
          </w:rPr>
          <w:fldChar w:fldCharType="begin"/>
        </w:r>
        <w:r w:rsidR="006570E1">
          <w:rPr>
            <w:noProof/>
            <w:webHidden/>
          </w:rPr>
          <w:instrText xml:space="preserve"> PAGEREF _Toc144222351 \h </w:instrText>
        </w:r>
        <w:r w:rsidR="00C226E6">
          <w:rPr>
            <w:noProof/>
            <w:webHidden/>
          </w:rPr>
        </w:r>
        <w:r w:rsidR="00C226E6">
          <w:rPr>
            <w:noProof/>
            <w:webHidden/>
          </w:rPr>
          <w:fldChar w:fldCharType="separate"/>
        </w:r>
        <w:r w:rsidR="00301A90">
          <w:rPr>
            <w:noProof/>
            <w:webHidden/>
          </w:rPr>
          <w:t>85</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52" w:history="1">
        <w:r w:rsidR="006570E1" w:rsidRPr="009C3895">
          <w:rPr>
            <w:rStyle w:val="Hyperlink"/>
            <w:rFonts w:eastAsiaTheme="majorEastAsia"/>
            <w:noProof/>
          </w:rPr>
          <w:t>Table 4.21: Nitrate nutrient release concentrations by nano-fertilizers and commercial fertilizers</w:t>
        </w:r>
        <w:r w:rsidR="006570E1">
          <w:rPr>
            <w:noProof/>
            <w:webHidden/>
          </w:rPr>
          <w:tab/>
        </w:r>
        <w:r w:rsidR="00C226E6">
          <w:rPr>
            <w:noProof/>
            <w:webHidden/>
          </w:rPr>
          <w:fldChar w:fldCharType="begin"/>
        </w:r>
        <w:r w:rsidR="006570E1">
          <w:rPr>
            <w:noProof/>
            <w:webHidden/>
          </w:rPr>
          <w:instrText xml:space="preserve"> PAGEREF _Toc144222352 \h </w:instrText>
        </w:r>
        <w:r w:rsidR="00C226E6">
          <w:rPr>
            <w:noProof/>
            <w:webHidden/>
          </w:rPr>
        </w:r>
        <w:r w:rsidR="00C226E6">
          <w:rPr>
            <w:noProof/>
            <w:webHidden/>
          </w:rPr>
          <w:fldChar w:fldCharType="separate"/>
        </w:r>
        <w:r w:rsidR="00301A90">
          <w:rPr>
            <w:noProof/>
            <w:webHidden/>
          </w:rPr>
          <w:t>87</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53" w:history="1">
        <w:r w:rsidR="006570E1" w:rsidRPr="009C3895">
          <w:rPr>
            <w:rStyle w:val="Hyperlink"/>
            <w:rFonts w:eastAsiaTheme="majorEastAsia"/>
            <w:noProof/>
          </w:rPr>
          <w:t>Table 4.22: Phosphate nutrient release concentrations by nano-fertilizers and commercial fertilizers</w:t>
        </w:r>
        <w:r w:rsidR="006570E1">
          <w:rPr>
            <w:noProof/>
            <w:webHidden/>
          </w:rPr>
          <w:tab/>
        </w:r>
        <w:r w:rsidR="00C226E6">
          <w:rPr>
            <w:noProof/>
            <w:webHidden/>
          </w:rPr>
          <w:fldChar w:fldCharType="begin"/>
        </w:r>
        <w:r w:rsidR="006570E1">
          <w:rPr>
            <w:noProof/>
            <w:webHidden/>
          </w:rPr>
          <w:instrText xml:space="preserve"> PAGEREF _Toc144222353 \h </w:instrText>
        </w:r>
        <w:r w:rsidR="00C226E6">
          <w:rPr>
            <w:noProof/>
            <w:webHidden/>
          </w:rPr>
        </w:r>
        <w:r w:rsidR="00C226E6">
          <w:rPr>
            <w:noProof/>
            <w:webHidden/>
          </w:rPr>
          <w:fldChar w:fldCharType="separate"/>
        </w:r>
        <w:r w:rsidR="00301A90">
          <w:rPr>
            <w:noProof/>
            <w:webHidden/>
          </w:rPr>
          <w:t>88</w:t>
        </w:r>
        <w:r w:rsidR="00C226E6">
          <w:rPr>
            <w:noProof/>
            <w:webHidden/>
          </w:rPr>
          <w:fldChar w:fldCharType="end"/>
        </w:r>
      </w:hyperlink>
    </w:p>
    <w:p w:rsidR="006570E1" w:rsidRDefault="0036558A" w:rsidP="00CB0819">
      <w:pPr>
        <w:pStyle w:val="TableofFigures"/>
        <w:spacing w:before="240"/>
        <w:rPr>
          <w:rFonts w:asciiTheme="minorHAnsi" w:eastAsiaTheme="minorEastAsia" w:hAnsiTheme="minorHAnsi" w:cstheme="minorBidi"/>
          <w:noProof/>
          <w:sz w:val="22"/>
          <w:szCs w:val="22"/>
        </w:rPr>
      </w:pPr>
      <w:hyperlink w:anchor="_Toc144222354" w:history="1">
        <w:r w:rsidR="006570E1" w:rsidRPr="009C3895">
          <w:rPr>
            <w:rStyle w:val="Hyperlink"/>
            <w:rFonts w:eastAsiaTheme="majorEastAsia"/>
            <w:noProof/>
          </w:rPr>
          <w:t>Table 4.23: Potassium nutrient release concentrations by nano-fertilizers and conventional fertilizers</w:t>
        </w:r>
        <w:r w:rsidR="006570E1">
          <w:rPr>
            <w:noProof/>
            <w:webHidden/>
          </w:rPr>
          <w:tab/>
        </w:r>
        <w:r w:rsidR="00C226E6">
          <w:rPr>
            <w:noProof/>
            <w:webHidden/>
          </w:rPr>
          <w:fldChar w:fldCharType="begin"/>
        </w:r>
        <w:r w:rsidR="006570E1">
          <w:rPr>
            <w:noProof/>
            <w:webHidden/>
          </w:rPr>
          <w:instrText xml:space="preserve"> PAGEREF _Toc144222354 \h </w:instrText>
        </w:r>
        <w:r w:rsidR="00C226E6">
          <w:rPr>
            <w:noProof/>
            <w:webHidden/>
          </w:rPr>
        </w:r>
        <w:r w:rsidR="00C226E6">
          <w:rPr>
            <w:noProof/>
            <w:webHidden/>
          </w:rPr>
          <w:fldChar w:fldCharType="separate"/>
        </w:r>
        <w:r w:rsidR="00301A90">
          <w:rPr>
            <w:noProof/>
            <w:webHidden/>
          </w:rPr>
          <w:t>89</w:t>
        </w:r>
        <w:r w:rsidR="00C226E6">
          <w:rPr>
            <w:noProof/>
            <w:webHidden/>
          </w:rPr>
          <w:fldChar w:fldCharType="end"/>
        </w:r>
      </w:hyperlink>
    </w:p>
    <w:p w:rsidR="00F934C1" w:rsidRDefault="00C226E6" w:rsidP="00CB0819">
      <w:pPr>
        <w:pStyle w:val="Caption"/>
        <w:tabs>
          <w:tab w:val="right" w:leader="dot" w:pos="8162"/>
        </w:tabs>
        <w:spacing w:before="240" w:line="360" w:lineRule="auto"/>
        <w:rPr>
          <w:b w:val="0"/>
          <w:bCs w:val="0"/>
          <w:color w:val="auto"/>
          <w:sz w:val="24"/>
          <w:szCs w:val="24"/>
        </w:rPr>
      </w:pPr>
      <w:r>
        <w:rPr>
          <w:color w:val="auto"/>
          <w:sz w:val="24"/>
          <w:szCs w:val="24"/>
        </w:rPr>
        <w:fldChar w:fldCharType="end"/>
      </w:r>
    </w:p>
    <w:p w:rsidR="00F934C1" w:rsidRDefault="00F934C1" w:rsidP="00F934C1">
      <w:pPr>
        <w:tabs>
          <w:tab w:val="right" w:leader="dot" w:pos="8162"/>
        </w:tabs>
        <w:autoSpaceDE/>
        <w:autoSpaceDN/>
        <w:adjustRightInd/>
        <w:spacing w:after="200" w:line="276" w:lineRule="auto"/>
        <w:jc w:val="left"/>
        <w:rPr>
          <w:rFonts w:eastAsiaTheme="majorEastAsia"/>
          <w:b/>
          <w:bCs/>
        </w:rPr>
      </w:pPr>
      <w:r>
        <w:br w:type="page"/>
      </w:r>
    </w:p>
    <w:p w:rsidR="00F934C1" w:rsidRPr="00621E85" w:rsidRDefault="00F934C1" w:rsidP="00F934C1">
      <w:pPr>
        <w:pStyle w:val="Heading1"/>
      </w:pPr>
      <w:bookmarkStart w:id="42" w:name="_Toc144819987"/>
      <w:r w:rsidRPr="00621E85">
        <w:lastRenderedPageBreak/>
        <w:t>LIST OF FIGURES</w:t>
      </w:r>
      <w:bookmarkEnd w:id="42"/>
    </w:p>
    <w:p w:rsidR="006570E1" w:rsidRDefault="00C226E6" w:rsidP="00CB0819">
      <w:pPr>
        <w:pStyle w:val="TableofFigures"/>
        <w:spacing w:after="240"/>
        <w:rPr>
          <w:rFonts w:asciiTheme="minorHAnsi" w:eastAsiaTheme="minorEastAsia" w:hAnsiTheme="minorHAnsi" w:cstheme="minorBidi"/>
          <w:noProof/>
          <w:sz w:val="22"/>
          <w:szCs w:val="22"/>
        </w:rPr>
      </w:pPr>
      <w:r>
        <w:fldChar w:fldCharType="begin"/>
      </w:r>
      <w:r w:rsidR="00F934C1">
        <w:instrText xml:space="preserve"> TOC \h \z \t "Heading 5,1" \c "Figure" </w:instrText>
      </w:r>
      <w:r>
        <w:fldChar w:fldCharType="separate"/>
      </w:r>
      <w:hyperlink w:anchor="_Toc144222355" w:history="1">
        <w:r w:rsidR="006570E1" w:rsidRPr="00F73B8E">
          <w:rPr>
            <w:rStyle w:val="Hyperlink"/>
            <w:rFonts w:eastAsiaTheme="majorEastAsia"/>
            <w:noProof/>
          </w:rPr>
          <w:t>Figure 4.1</w:t>
        </w:r>
        <w:r w:rsidR="006570E1" w:rsidRPr="00F73B8E">
          <w:rPr>
            <w:rStyle w:val="Hyperlink"/>
            <w:rFonts w:eastAsiaTheme="majorEastAsia" w:cstheme="majorBidi"/>
            <w:noProof/>
          </w:rPr>
          <w:t>: (a) SEM image of bone nHA and (b) SEM image of synthetic nHA</w:t>
        </w:r>
        <w:r w:rsidR="006570E1">
          <w:rPr>
            <w:noProof/>
            <w:webHidden/>
          </w:rPr>
          <w:tab/>
        </w:r>
        <w:r>
          <w:rPr>
            <w:noProof/>
            <w:webHidden/>
          </w:rPr>
          <w:fldChar w:fldCharType="begin"/>
        </w:r>
        <w:r w:rsidR="006570E1">
          <w:rPr>
            <w:noProof/>
            <w:webHidden/>
          </w:rPr>
          <w:instrText xml:space="preserve"> PAGEREF _Toc144222355 \h </w:instrText>
        </w:r>
        <w:r>
          <w:rPr>
            <w:noProof/>
            <w:webHidden/>
          </w:rPr>
        </w:r>
        <w:r>
          <w:rPr>
            <w:noProof/>
            <w:webHidden/>
          </w:rPr>
          <w:fldChar w:fldCharType="separate"/>
        </w:r>
        <w:r w:rsidR="00301A90">
          <w:rPr>
            <w:noProof/>
            <w:webHidden/>
          </w:rPr>
          <w:t>45</w:t>
        </w:r>
        <w:r>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56" w:history="1">
        <w:r w:rsidR="006570E1" w:rsidRPr="00F73B8E">
          <w:rPr>
            <w:rStyle w:val="Hyperlink"/>
            <w:rFonts w:eastAsiaTheme="majorEastAsia"/>
            <w:noProof/>
          </w:rPr>
          <w:t>Figure 4.2</w:t>
        </w:r>
        <w:r w:rsidR="006570E1" w:rsidRPr="00F73B8E">
          <w:rPr>
            <w:rStyle w:val="Hyperlink"/>
            <w:rFonts w:eastAsiaTheme="majorEastAsia" w:cstheme="majorBidi"/>
            <w:noProof/>
          </w:rPr>
          <w:t>: (a) SEM image of bone DAP Nano and (b) SEM image of synthetic DAP Nano</w:t>
        </w:r>
        <w:r w:rsidR="006570E1">
          <w:rPr>
            <w:noProof/>
            <w:webHidden/>
          </w:rPr>
          <w:tab/>
        </w:r>
        <w:r w:rsidR="00C226E6">
          <w:rPr>
            <w:noProof/>
            <w:webHidden/>
          </w:rPr>
          <w:fldChar w:fldCharType="begin"/>
        </w:r>
        <w:r w:rsidR="006570E1">
          <w:rPr>
            <w:noProof/>
            <w:webHidden/>
          </w:rPr>
          <w:instrText xml:space="preserve"> PAGEREF _Toc144222356 \h </w:instrText>
        </w:r>
        <w:r w:rsidR="00C226E6">
          <w:rPr>
            <w:noProof/>
            <w:webHidden/>
          </w:rPr>
        </w:r>
        <w:r w:rsidR="00C226E6">
          <w:rPr>
            <w:noProof/>
            <w:webHidden/>
          </w:rPr>
          <w:fldChar w:fldCharType="separate"/>
        </w:r>
        <w:r w:rsidR="00301A90">
          <w:rPr>
            <w:noProof/>
            <w:webHidden/>
          </w:rPr>
          <w:t>45</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57" w:history="1">
        <w:r w:rsidR="006570E1" w:rsidRPr="00F73B8E">
          <w:rPr>
            <w:rStyle w:val="Hyperlink"/>
            <w:rFonts w:eastAsiaTheme="majorEastAsia"/>
            <w:noProof/>
          </w:rPr>
          <w:t xml:space="preserve">Figure 4.3: (a) SEM image of bone NPK Nano and (b) SEM image of synthetic NPK </w:t>
        </w:r>
        <w:r w:rsidR="006570E1" w:rsidRPr="00A15E2E">
          <w:rPr>
            <w:rStyle w:val="Hyperlink"/>
            <w:rFonts w:eastAsiaTheme="majorEastAsia"/>
            <w:noProof/>
            <w:sz w:val="22"/>
          </w:rPr>
          <w:t>Nano</w:t>
        </w:r>
        <w:r w:rsidR="006570E1">
          <w:rPr>
            <w:noProof/>
            <w:webHidden/>
          </w:rPr>
          <w:tab/>
        </w:r>
        <w:r w:rsidR="00C226E6">
          <w:rPr>
            <w:noProof/>
            <w:webHidden/>
          </w:rPr>
          <w:fldChar w:fldCharType="begin"/>
        </w:r>
        <w:r w:rsidR="006570E1">
          <w:rPr>
            <w:noProof/>
            <w:webHidden/>
          </w:rPr>
          <w:instrText xml:space="preserve"> PAGEREF _Toc144222357 \h </w:instrText>
        </w:r>
        <w:r w:rsidR="00C226E6">
          <w:rPr>
            <w:noProof/>
            <w:webHidden/>
          </w:rPr>
        </w:r>
        <w:r w:rsidR="00C226E6">
          <w:rPr>
            <w:noProof/>
            <w:webHidden/>
          </w:rPr>
          <w:fldChar w:fldCharType="separate"/>
        </w:r>
        <w:r w:rsidR="00301A90">
          <w:rPr>
            <w:noProof/>
            <w:webHidden/>
          </w:rPr>
          <w:t>46</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58" w:history="1">
        <w:r w:rsidR="006570E1" w:rsidRPr="00F73B8E">
          <w:rPr>
            <w:rStyle w:val="Hyperlink"/>
            <w:rFonts w:eastAsiaTheme="majorEastAsia"/>
            <w:noProof/>
          </w:rPr>
          <w:t>Figure 4.4: (a): XRD image of bone nHA and (b) XRD image of synthetic nHA</w:t>
        </w:r>
        <w:r w:rsidR="006570E1">
          <w:rPr>
            <w:noProof/>
            <w:webHidden/>
          </w:rPr>
          <w:tab/>
        </w:r>
        <w:r w:rsidR="00C226E6">
          <w:rPr>
            <w:noProof/>
            <w:webHidden/>
          </w:rPr>
          <w:fldChar w:fldCharType="begin"/>
        </w:r>
        <w:r w:rsidR="006570E1">
          <w:rPr>
            <w:noProof/>
            <w:webHidden/>
          </w:rPr>
          <w:instrText xml:space="preserve"> PAGEREF _Toc144222358 \h </w:instrText>
        </w:r>
        <w:r w:rsidR="00C226E6">
          <w:rPr>
            <w:noProof/>
            <w:webHidden/>
          </w:rPr>
        </w:r>
        <w:r w:rsidR="00C226E6">
          <w:rPr>
            <w:noProof/>
            <w:webHidden/>
          </w:rPr>
          <w:fldChar w:fldCharType="separate"/>
        </w:r>
        <w:r w:rsidR="00301A90">
          <w:rPr>
            <w:noProof/>
            <w:webHidden/>
          </w:rPr>
          <w:t>47</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59" w:history="1">
        <w:r w:rsidR="006570E1" w:rsidRPr="00F73B8E">
          <w:rPr>
            <w:rStyle w:val="Hyperlink"/>
            <w:rFonts w:eastAsiaTheme="majorEastAsia"/>
            <w:noProof/>
          </w:rPr>
          <w:t>Figure 4.5: (a): XRD image of bone DAP Nano and (b) XRD image of synthetic DAP Nano</w:t>
        </w:r>
        <w:r w:rsidR="006570E1">
          <w:rPr>
            <w:noProof/>
            <w:webHidden/>
          </w:rPr>
          <w:tab/>
        </w:r>
        <w:r w:rsidR="00C226E6">
          <w:rPr>
            <w:noProof/>
            <w:webHidden/>
          </w:rPr>
          <w:fldChar w:fldCharType="begin"/>
        </w:r>
        <w:r w:rsidR="006570E1">
          <w:rPr>
            <w:noProof/>
            <w:webHidden/>
          </w:rPr>
          <w:instrText xml:space="preserve"> PAGEREF _Toc144222359 \h </w:instrText>
        </w:r>
        <w:r w:rsidR="00C226E6">
          <w:rPr>
            <w:noProof/>
            <w:webHidden/>
          </w:rPr>
        </w:r>
        <w:r w:rsidR="00C226E6">
          <w:rPr>
            <w:noProof/>
            <w:webHidden/>
          </w:rPr>
          <w:fldChar w:fldCharType="separate"/>
        </w:r>
        <w:r w:rsidR="00301A90">
          <w:rPr>
            <w:noProof/>
            <w:webHidden/>
          </w:rPr>
          <w:t>48</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0" w:history="1">
        <w:r w:rsidR="006570E1" w:rsidRPr="00F73B8E">
          <w:rPr>
            <w:rStyle w:val="Hyperlink"/>
            <w:rFonts w:eastAsiaTheme="majorEastAsia"/>
            <w:noProof/>
          </w:rPr>
          <w:t>Figure 4.6: (a) XRD image of bone NPK nano and (b) XRD image of synthetic NPK Nano</w:t>
        </w:r>
        <w:r w:rsidR="006570E1">
          <w:rPr>
            <w:noProof/>
            <w:webHidden/>
          </w:rPr>
          <w:tab/>
        </w:r>
        <w:r w:rsidR="00C226E6">
          <w:rPr>
            <w:noProof/>
            <w:webHidden/>
          </w:rPr>
          <w:fldChar w:fldCharType="begin"/>
        </w:r>
        <w:r w:rsidR="006570E1">
          <w:rPr>
            <w:noProof/>
            <w:webHidden/>
          </w:rPr>
          <w:instrText xml:space="preserve"> PAGEREF _Toc144222360 \h </w:instrText>
        </w:r>
        <w:r w:rsidR="00C226E6">
          <w:rPr>
            <w:noProof/>
            <w:webHidden/>
          </w:rPr>
        </w:r>
        <w:r w:rsidR="00C226E6">
          <w:rPr>
            <w:noProof/>
            <w:webHidden/>
          </w:rPr>
          <w:fldChar w:fldCharType="separate"/>
        </w:r>
        <w:r w:rsidR="00301A90">
          <w:rPr>
            <w:noProof/>
            <w:webHidden/>
          </w:rPr>
          <w:t>48</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1" w:history="1">
        <w:r w:rsidR="006570E1" w:rsidRPr="00F73B8E">
          <w:rPr>
            <w:rStyle w:val="Hyperlink"/>
            <w:rFonts w:eastAsiaTheme="majorEastAsia"/>
            <w:noProof/>
          </w:rPr>
          <w:t>Figure 4.7: (a) XRD image of bone NPK-DAP Nano and (b) XRD image of synthetic NPK-DAP Nano</w:t>
        </w:r>
        <w:r w:rsidR="006570E1">
          <w:rPr>
            <w:noProof/>
            <w:webHidden/>
          </w:rPr>
          <w:tab/>
        </w:r>
        <w:r w:rsidR="00C226E6">
          <w:rPr>
            <w:noProof/>
            <w:webHidden/>
          </w:rPr>
          <w:fldChar w:fldCharType="begin"/>
        </w:r>
        <w:r w:rsidR="006570E1">
          <w:rPr>
            <w:noProof/>
            <w:webHidden/>
          </w:rPr>
          <w:instrText xml:space="preserve"> PAGEREF _Toc144222361 \h </w:instrText>
        </w:r>
        <w:r w:rsidR="00C226E6">
          <w:rPr>
            <w:noProof/>
            <w:webHidden/>
          </w:rPr>
        </w:r>
        <w:r w:rsidR="00C226E6">
          <w:rPr>
            <w:noProof/>
            <w:webHidden/>
          </w:rPr>
          <w:fldChar w:fldCharType="separate"/>
        </w:r>
        <w:r w:rsidR="00301A90">
          <w:rPr>
            <w:noProof/>
            <w:webHidden/>
          </w:rPr>
          <w:t>49</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2" w:history="1">
        <w:r w:rsidR="006570E1" w:rsidRPr="00F73B8E">
          <w:rPr>
            <w:rStyle w:val="Hyperlink"/>
            <w:rFonts w:eastAsiaTheme="majorEastAsia"/>
            <w:noProof/>
          </w:rPr>
          <w:t>Figure 4.8: FTIR images of various nanofertilizers in the order (a) bone nHA, (b)synthetic nHA, (c)bone DAP nano, (d) synthetic DAP nano, (e) bone NPK nano, (f) synthetic NPK nano,(g) bone NPK-DAP nano, (h) synthetic NPK-DAP nano respectively.</w:t>
        </w:r>
        <w:r w:rsidR="006570E1">
          <w:rPr>
            <w:noProof/>
            <w:webHidden/>
          </w:rPr>
          <w:tab/>
        </w:r>
        <w:r w:rsidR="00C226E6">
          <w:rPr>
            <w:noProof/>
            <w:webHidden/>
          </w:rPr>
          <w:fldChar w:fldCharType="begin"/>
        </w:r>
        <w:r w:rsidR="006570E1">
          <w:rPr>
            <w:noProof/>
            <w:webHidden/>
          </w:rPr>
          <w:instrText xml:space="preserve"> PAGEREF _Toc144222362 \h </w:instrText>
        </w:r>
        <w:r w:rsidR="00C226E6">
          <w:rPr>
            <w:noProof/>
            <w:webHidden/>
          </w:rPr>
        </w:r>
        <w:r w:rsidR="00C226E6">
          <w:rPr>
            <w:noProof/>
            <w:webHidden/>
          </w:rPr>
          <w:fldChar w:fldCharType="separate"/>
        </w:r>
        <w:r w:rsidR="00301A90">
          <w:rPr>
            <w:noProof/>
            <w:webHidden/>
          </w:rPr>
          <w:t>52</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3" w:history="1">
        <w:r w:rsidR="006570E1" w:rsidRPr="00F73B8E">
          <w:rPr>
            <w:rStyle w:val="Hyperlink"/>
            <w:rFonts w:eastAsiaTheme="majorEastAsia"/>
            <w:noProof/>
          </w:rPr>
          <w:t>Figure 4.9</w:t>
        </w:r>
        <w:r w:rsidR="006570E1" w:rsidRPr="00F73B8E">
          <w:rPr>
            <w:rStyle w:val="Hyperlink"/>
            <w:rFonts w:eastAsiaTheme="minorHAnsi"/>
            <w:noProof/>
          </w:rPr>
          <w:t>: pH change and the adsorption of Cd</w:t>
        </w:r>
        <w:r w:rsidR="006570E1" w:rsidRPr="00F73B8E">
          <w:rPr>
            <w:rStyle w:val="Hyperlink"/>
            <w:rFonts w:eastAsiaTheme="minorHAnsi"/>
            <w:noProof/>
            <w:vertAlign w:val="superscript"/>
          </w:rPr>
          <w:t>2+</w:t>
        </w:r>
        <w:r w:rsidR="006570E1" w:rsidRPr="00F73B8E">
          <w:rPr>
            <w:rStyle w:val="Hyperlink"/>
            <w:rFonts w:eastAsiaTheme="minorHAnsi"/>
            <w:noProof/>
          </w:rPr>
          <w:t xml:space="preserve"> and Pb</w:t>
        </w:r>
        <w:r w:rsidR="006570E1" w:rsidRPr="00F73B8E">
          <w:rPr>
            <w:rStyle w:val="Hyperlink"/>
            <w:rFonts w:eastAsiaTheme="minorHAnsi"/>
            <w:noProof/>
            <w:vertAlign w:val="superscript"/>
          </w:rPr>
          <w:t>2+</w:t>
        </w:r>
        <w:r w:rsidR="006570E1" w:rsidRPr="00F73B8E">
          <w:rPr>
            <w:rStyle w:val="Hyperlink"/>
            <w:rFonts w:eastAsiaTheme="minorHAnsi"/>
            <w:noProof/>
          </w:rPr>
          <w:t xml:space="preserve"> on bone nHA</w:t>
        </w:r>
        <w:r w:rsidR="006570E1">
          <w:rPr>
            <w:noProof/>
            <w:webHidden/>
          </w:rPr>
          <w:tab/>
        </w:r>
        <w:r w:rsidR="00C226E6">
          <w:rPr>
            <w:noProof/>
            <w:webHidden/>
          </w:rPr>
          <w:fldChar w:fldCharType="begin"/>
        </w:r>
        <w:r w:rsidR="006570E1">
          <w:rPr>
            <w:noProof/>
            <w:webHidden/>
          </w:rPr>
          <w:instrText xml:space="preserve"> PAGEREF _Toc144222363 \h </w:instrText>
        </w:r>
        <w:r w:rsidR="00C226E6">
          <w:rPr>
            <w:noProof/>
            <w:webHidden/>
          </w:rPr>
        </w:r>
        <w:r w:rsidR="00C226E6">
          <w:rPr>
            <w:noProof/>
            <w:webHidden/>
          </w:rPr>
          <w:fldChar w:fldCharType="separate"/>
        </w:r>
        <w:r w:rsidR="00301A90">
          <w:rPr>
            <w:noProof/>
            <w:webHidden/>
          </w:rPr>
          <w:t>76</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4" w:history="1">
        <w:r w:rsidR="006570E1" w:rsidRPr="00F73B8E">
          <w:rPr>
            <w:rStyle w:val="Hyperlink"/>
            <w:rFonts w:eastAsiaTheme="majorEastAsia"/>
            <w:noProof/>
          </w:rPr>
          <w:t>Figure 4.10</w:t>
        </w:r>
        <w:r w:rsidR="006570E1" w:rsidRPr="00F73B8E">
          <w:rPr>
            <w:rStyle w:val="Hyperlink"/>
            <w:rFonts w:eastAsiaTheme="minorHAnsi"/>
            <w:noProof/>
          </w:rPr>
          <w:t xml:space="preserve">: </w:t>
        </w:r>
        <w:r w:rsidR="006570E1" w:rsidRPr="00F73B8E">
          <w:rPr>
            <w:rStyle w:val="Hyperlink"/>
            <w:rFonts w:eastAsiaTheme="minorHAnsi"/>
            <w:iCs/>
            <w:noProof/>
          </w:rPr>
          <w:t>Adsorbent dosage on Pb</w:t>
        </w:r>
        <w:r w:rsidR="006570E1" w:rsidRPr="00F73B8E">
          <w:rPr>
            <w:rStyle w:val="Hyperlink"/>
            <w:rFonts w:eastAsiaTheme="minorHAnsi"/>
            <w:iCs/>
            <w:noProof/>
            <w:vertAlign w:val="superscript"/>
          </w:rPr>
          <w:t>2+</w:t>
        </w:r>
        <w:r w:rsidR="006570E1" w:rsidRPr="00F73B8E">
          <w:rPr>
            <w:rStyle w:val="Hyperlink"/>
            <w:rFonts w:eastAsiaTheme="minorHAnsi"/>
            <w:iCs/>
            <w:noProof/>
          </w:rPr>
          <w:t xml:space="preserve"> adsorption </w:t>
        </w:r>
        <w:r w:rsidR="006570E1" w:rsidRPr="00F73B8E">
          <w:rPr>
            <w:rStyle w:val="Hyperlink"/>
            <w:rFonts w:eastAsiaTheme="minorHAnsi"/>
            <w:noProof/>
          </w:rPr>
          <w:t>using bone nHA</w:t>
        </w:r>
        <w:r w:rsidR="006570E1">
          <w:rPr>
            <w:noProof/>
            <w:webHidden/>
          </w:rPr>
          <w:tab/>
        </w:r>
        <w:r w:rsidR="00C226E6">
          <w:rPr>
            <w:noProof/>
            <w:webHidden/>
          </w:rPr>
          <w:fldChar w:fldCharType="begin"/>
        </w:r>
        <w:r w:rsidR="006570E1">
          <w:rPr>
            <w:noProof/>
            <w:webHidden/>
          </w:rPr>
          <w:instrText xml:space="preserve"> PAGEREF _Toc144222364 \h </w:instrText>
        </w:r>
        <w:r w:rsidR="00C226E6">
          <w:rPr>
            <w:noProof/>
            <w:webHidden/>
          </w:rPr>
        </w:r>
        <w:r w:rsidR="00C226E6">
          <w:rPr>
            <w:noProof/>
            <w:webHidden/>
          </w:rPr>
          <w:fldChar w:fldCharType="separate"/>
        </w:r>
        <w:r w:rsidR="00301A90">
          <w:rPr>
            <w:noProof/>
            <w:webHidden/>
          </w:rPr>
          <w:t>77</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5" w:history="1">
        <w:r w:rsidR="006570E1" w:rsidRPr="00F73B8E">
          <w:rPr>
            <w:rStyle w:val="Hyperlink"/>
            <w:rFonts w:eastAsiaTheme="majorEastAsia"/>
            <w:noProof/>
          </w:rPr>
          <w:t>Figure 4.11</w:t>
        </w:r>
        <w:r w:rsidR="006570E1" w:rsidRPr="00F73B8E">
          <w:rPr>
            <w:rStyle w:val="Hyperlink"/>
            <w:rFonts w:eastAsiaTheme="minorHAnsi"/>
            <w:noProof/>
          </w:rPr>
          <w:t>: Effect of Initial metal concentration on removal of Cd</w:t>
        </w:r>
        <w:r w:rsidR="006570E1" w:rsidRPr="00F73B8E">
          <w:rPr>
            <w:rStyle w:val="Hyperlink"/>
            <w:rFonts w:eastAsiaTheme="minorHAnsi"/>
            <w:noProof/>
            <w:vertAlign w:val="superscript"/>
          </w:rPr>
          <w:t>2+</w:t>
        </w:r>
        <w:r w:rsidR="006570E1" w:rsidRPr="00F73B8E">
          <w:rPr>
            <w:rStyle w:val="Hyperlink"/>
            <w:rFonts w:eastAsiaTheme="minorHAnsi"/>
            <w:noProof/>
          </w:rPr>
          <w:t xml:space="preserve"> and Pb</w:t>
        </w:r>
        <w:r w:rsidR="006570E1" w:rsidRPr="00F73B8E">
          <w:rPr>
            <w:rStyle w:val="Hyperlink"/>
            <w:rFonts w:eastAsiaTheme="minorHAnsi"/>
            <w:noProof/>
            <w:vertAlign w:val="superscript"/>
          </w:rPr>
          <w:t>2+</w:t>
        </w:r>
        <w:r w:rsidR="006570E1" w:rsidRPr="00F73B8E">
          <w:rPr>
            <w:rStyle w:val="Hyperlink"/>
            <w:rFonts w:eastAsiaTheme="minorHAnsi"/>
            <w:noProof/>
          </w:rPr>
          <w:t xml:space="preserve"> on bone nHA</w:t>
        </w:r>
        <w:r w:rsidR="006570E1">
          <w:rPr>
            <w:noProof/>
            <w:webHidden/>
          </w:rPr>
          <w:tab/>
        </w:r>
        <w:r w:rsidR="00C226E6">
          <w:rPr>
            <w:noProof/>
            <w:webHidden/>
          </w:rPr>
          <w:fldChar w:fldCharType="begin"/>
        </w:r>
        <w:r w:rsidR="006570E1">
          <w:rPr>
            <w:noProof/>
            <w:webHidden/>
          </w:rPr>
          <w:instrText xml:space="preserve"> PAGEREF _Toc144222365 \h </w:instrText>
        </w:r>
        <w:r w:rsidR="00C226E6">
          <w:rPr>
            <w:noProof/>
            <w:webHidden/>
          </w:rPr>
        </w:r>
        <w:r w:rsidR="00C226E6">
          <w:rPr>
            <w:noProof/>
            <w:webHidden/>
          </w:rPr>
          <w:fldChar w:fldCharType="separate"/>
        </w:r>
        <w:r w:rsidR="00301A90">
          <w:rPr>
            <w:noProof/>
            <w:webHidden/>
          </w:rPr>
          <w:t>78</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6" w:history="1">
        <w:r w:rsidR="006570E1" w:rsidRPr="00F73B8E">
          <w:rPr>
            <w:rStyle w:val="Hyperlink"/>
            <w:rFonts w:eastAsiaTheme="majorEastAsia"/>
            <w:noProof/>
          </w:rPr>
          <w:t>Figure 4.12</w:t>
        </w:r>
        <w:r w:rsidR="006570E1" w:rsidRPr="00F73B8E">
          <w:rPr>
            <w:rStyle w:val="Hyperlink"/>
            <w:rFonts w:eastAsiaTheme="minorHAnsi"/>
            <w:noProof/>
          </w:rPr>
          <w:t>: Contact time on the adsorption of Cd</w:t>
        </w:r>
        <w:r w:rsidR="006570E1" w:rsidRPr="00F73B8E">
          <w:rPr>
            <w:rStyle w:val="Hyperlink"/>
            <w:rFonts w:eastAsiaTheme="minorHAnsi"/>
            <w:noProof/>
            <w:vertAlign w:val="superscript"/>
          </w:rPr>
          <w:t>2+</w:t>
        </w:r>
        <w:r w:rsidR="006570E1" w:rsidRPr="00F73B8E">
          <w:rPr>
            <w:rStyle w:val="Hyperlink"/>
            <w:rFonts w:eastAsiaTheme="minorHAnsi"/>
            <w:noProof/>
          </w:rPr>
          <w:t xml:space="preserve"> and Pb</w:t>
        </w:r>
        <w:r w:rsidR="006570E1" w:rsidRPr="00F73B8E">
          <w:rPr>
            <w:rStyle w:val="Hyperlink"/>
            <w:rFonts w:eastAsiaTheme="minorHAnsi"/>
            <w:noProof/>
            <w:vertAlign w:val="superscript"/>
          </w:rPr>
          <w:t>2+</w:t>
        </w:r>
        <w:r w:rsidR="006570E1" w:rsidRPr="00F73B8E">
          <w:rPr>
            <w:rStyle w:val="Hyperlink"/>
            <w:rFonts w:eastAsiaTheme="minorHAnsi"/>
            <w:noProof/>
          </w:rPr>
          <w:t xml:space="preserve"> on bone nHA</w:t>
        </w:r>
        <w:r w:rsidR="006570E1">
          <w:rPr>
            <w:noProof/>
            <w:webHidden/>
          </w:rPr>
          <w:tab/>
        </w:r>
        <w:r w:rsidR="00C226E6">
          <w:rPr>
            <w:noProof/>
            <w:webHidden/>
          </w:rPr>
          <w:fldChar w:fldCharType="begin"/>
        </w:r>
        <w:r w:rsidR="006570E1">
          <w:rPr>
            <w:noProof/>
            <w:webHidden/>
          </w:rPr>
          <w:instrText xml:space="preserve"> PAGEREF _Toc144222366 \h </w:instrText>
        </w:r>
        <w:r w:rsidR="00C226E6">
          <w:rPr>
            <w:noProof/>
            <w:webHidden/>
          </w:rPr>
        </w:r>
        <w:r w:rsidR="00C226E6">
          <w:rPr>
            <w:noProof/>
            <w:webHidden/>
          </w:rPr>
          <w:fldChar w:fldCharType="separate"/>
        </w:r>
        <w:r w:rsidR="00301A90">
          <w:rPr>
            <w:noProof/>
            <w:webHidden/>
          </w:rPr>
          <w:t>79</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7" w:history="1">
        <w:r w:rsidR="006570E1" w:rsidRPr="00F73B8E">
          <w:rPr>
            <w:rStyle w:val="Hyperlink"/>
            <w:rFonts w:eastAsiaTheme="majorEastAsia"/>
            <w:noProof/>
          </w:rPr>
          <w:t>Figure 4.13: Graph on NO</w:t>
        </w:r>
        <w:r w:rsidR="006570E1" w:rsidRPr="00F73B8E">
          <w:rPr>
            <w:rStyle w:val="Hyperlink"/>
            <w:rFonts w:eastAsiaTheme="majorEastAsia"/>
            <w:noProof/>
            <w:vertAlign w:val="subscript"/>
          </w:rPr>
          <w:t>3</w:t>
        </w:r>
        <w:r w:rsidR="006570E1" w:rsidRPr="00F73B8E">
          <w:rPr>
            <w:rStyle w:val="Hyperlink"/>
            <w:rFonts w:eastAsiaTheme="majorEastAsia"/>
            <w:noProof/>
            <w:vertAlign w:val="superscript"/>
          </w:rPr>
          <w:t>-</w:t>
        </w:r>
        <w:r w:rsidR="006570E1" w:rsidRPr="00F73B8E">
          <w:rPr>
            <w:rStyle w:val="Hyperlink"/>
            <w:rFonts w:eastAsiaTheme="majorEastAsia"/>
            <w:noProof/>
          </w:rPr>
          <w:t xml:space="preserve"> released by Bone nHA nanofertilizers within 40 days</w:t>
        </w:r>
        <w:r w:rsidR="006570E1">
          <w:rPr>
            <w:noProof/>
            <w:webHidden/>
          </w:rPr>
          <w:tab/>
        </w:r>
        <w:r w:rsidR="00C226E6">
          <w:rPr>
            <w:noProof/>
            <w:webHidden/>
          </w:rPr>
          <w:fldChar w:fldCharType="begin"/>
        </w:r>
        <w:r w:rsidR="006570E1">
          <w:rPr>
            <w:noProof/>
            <w:webHidden/>
          </w:rPr>
          <w:instrText xml:space="preserve"> PAGEREF _Toc144222367 \h </w:instrText>
        </w:r>
        <w:r w:rsidR="00C226E6">
          <w:rPr>
            <w:noProof/>
            <w:webHidden/>
          </w:rPr>
        </w:r>
        <w:r w:rsidR="00C226E6">
          <w:rPr>
            <w:noProof/>
            <w:webHidden/>
          </w:rPr>
          <w:fldChar w:fldCharType="separate"/>
        </w:r>
        <w:r w:rsidR="00301A90">
          <w:rPr>
            <w:noProof/>
            <w:webHidden/>
          </w:rPr>
          <w:t>91</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8" w:history="1">
        <w:r w:rsidR="006570E1" w:rsidRPr="00F73B8E">
          <w:rPr>
            <w:rStyle w:val="Hyperlink"/>
            <w:rFonts w:eastAsiaTheme="majorEastAsia"/>
            <w:noProof/>
          </w:rPr>
          <w:t>Figure 4.14: Graph on NO</w:t>
        </w:r>
        <w:r w:rsidR="006570E1" w:rsidRPr="00F73B8E">
          <w:rPr>
            <w:rStyle w:val="Hyperlink"/>
            <w:rFonts w:eastAsiaTheme="majorEastAsia"/>
            <w:noProof/>
            <w:vertAlign w:val="subscript"/>
          </w:rPr>
          <w:t>3</w:t>
        </w:r>
        <w:r w:rsidR="006570E1" w:rsidRPr="00F73B8E">
          <w:rPr>
            <w:rStyle w:val="Hyperlink"/>
            <w:rFonts w:eastAsiaTheme="majorEastAsia"/>
            <w:noProof/>
            <w:vertAlign w:val="superscript"/>
          </w:rPr>
          <w:t>--</w:t>
        </w:r>
        <w:r w:rsidR="006570E1" w:rsidRPr="00F73B8E">
          <w:rPr>
            <w:rStyle w:val="Hyperlink"/>
            <w:rFonts w:eastAsiaTheme="majorEastAsia"/>
            <w:noProof/>
          </w:rPr>
          <w:t xml:space="preserve"> release by synthetic nHA nanofertilizers within 40 days</w:t>
        </w:r>
        <w:r w:rsidR="006570E1">
          <w:rPr>
            <w:noProof/>
            <w:webHidden/>
          </w:rPr>
          <w:tab/>
        </w:r>
        <w:r w:rsidR="00C226E6">
          <w:rPr>
            <w:noProof/>
            <w:webHidden/>
          </w:rPr>
          <w:fldChar w:fldCharType="begin"/>
        </w:r>
        <w:r w:rsidR="006570E1">
          <w:rPr>
            <w:noProof/>
            <w:webHidden/>
          </w:rPr>
          <w:instrText xml:space="preserve"> PAGEREF _Toc144222368 \h </w:instrText>
        </w:r>
        <w:r w:rsidR="00C226E6">
          <w:rPr>
            <w:noProof/>
            <w:webHidden/>
          </w:rPr>
        </w:r>
        <w:r w:rsidR="00C226E6">
          <w:rPr>
            <w:noProof/>
            <w:webHidden/>
          </w:rPr>
          <w:fldChar w:fldCharType="separate"/>
        </w:r>
        <w:r w:rsidR="00301A90">
          <w:rPr>
            <w:noProof/>
            <w:webHidden/>
          </w:rPr>
          <w:t>91</w:t>
        </w:r>
        <w:r w:rsidR="00C226E6">
          <w:rPr>
            <w:noProof/>
            <w:webHidden/>
          </w:rPr>
          <w:fldChar w:fldCharType="end"/>
        </w:r>
      </w:hyperlink>
    </w:p>
    <w:p w:rsidR="006570E1" w:rsidRDefault="0036558A" w:rsidP="00CB0819">
      <w:pPr>
        <w:pStyle w:val="TableofFigures"/>
        <w:spacing w:after="240"/>
        <w:rPr>
          <w:rFonts w:asciiTheme="minorHAnsi" w:eastAsiaTheme="minorEastAsia" w:hAnsiTheme="minorHAnsi" w:cstheme="minorBidi"/>
          <w:noProof/>
          <w:sz w:val="22"/>
          <w:szCs w:val="22"/>
        </w:rPr>
      </w:pPr>
      <w:hyperlink w:anchor="_Toc144222369" w:history="1">
        <w:r w:rsidR="006570E1" w:rsidRPr="00F73B8E">
          <w:rPr>
            <w:rStyle w:val="Hyperlink"/>
            <w:rFonts w:eastAsiaTheme="majorEastAsia"/>
            <w:noProof/>
          </w:rPr>
          <w:t>Figure 4.15: Graph on NO</w:t>
        </w:r>
        <w:r w:rsidR="006570E1" w:rsidRPr="00F73B8E">
          <w:rPr>
            <w:rStyle w:val="Hyperlink"/>
            <w:rFonts w:eastAsiaTheme="majorEastAsia"/>
            <w:noProof/>
            <w:vertAlign w:val="subscript"/>
          </w:rPr>
          <w:t>3</w:t>
        </w:r>
        <w:r w:rsidR="006570E1" w:rsidRPr="00F73B8E">
          <w:rPr>
            <w:rStyle w:val="Hyperlink"/>
            <w:rFonts w:eastAsiaTheme="majorEastAsia"/>
            <w:noProof/>
            <w:vertAlign w:val="superscript"/>
          </w:rPr>
          <w:t>-</w:t>
        </w:r>
        <w:r w:rsidR="006570E1" w:rsidRPr="00F73B8E">
          <w:rPr>
            <w:rStyle w:val="Hyperlink"/>
            <w:rFonts w:eastAsiaTheme="majorEastAsia"/>
            <w:noProof/>
          </w:rPr>
          <w:t xml:space="preserve"> release by commercial fertilizers within 40 days</w:t>
        </w:r>
        <w:r w:rsidR="006570E1">
          <w:rPr>
            <w:noProof/>
            <w:webHidden/>
          </w:rPr>
          <w:tab/>
        </w:r>
        <w:r w:rsidR="00C226E6">
          <w:rPr>
            <w:noProof/>
            <w:webHidden/>
          </w:rPr>
          <w:fldChar w:fldCharType="begin"/>
        </w:r>
        <w:r w:rsidR="006570E1">
          <w:rPr>
            <w:noProof/>
            <w:webHidden/>
          </w:rPr>
          <w:instrText xml:space="preserve"> PAGEREF _Toc144222369 \h </w:instrText>
        </w:r>
        <w:r w:rsidR="00C226E6">
          <w:rPr>
            <w:noProof/>
            <w:webHidden/>
          </w:rPr>
        </w:r>
        <w:r w:rsidR="00C226E6">
          <w:rPr>
            <w:noProof/>
            <w:webHidden/>
          </w:rPr>
          <w:fldChar w:fldCharType="separate"/>
        </w:r>
        <w:r w:rsidR="00301A90">
          <w:rPr>
            <w:noProof/>
            <w:webHidden/>
          </w:rPr>
          <w:t>92</w:t>
        </w:r>
        <w:r w:rsidR="00C226E6">
          <w:rPr>
            <w:noProof/>
            <w:webHidden/>
          </w:rPr>
          <w:fldChar w:fldCharType="end"/>
        </w:r>
      </w:hyperlink>
    </w:p>
    <w:p w:rsidR="00F934C1" w:rsidRDefault="00C226E6" w:rsidP="00CB0819">
      <w:pPr>
        <w:pStyle w:val="TableofFigures"/>
        <w:spacing w:after="240"/>
      </w:pPr>
      <w:r>
        <w:fldChar w:fldCharType="end"/>
      </w:r>
    </w:p>
    <w:p w:rsidR="00F934C1" w:rsidRDefault="00F934C1" w:rsidP="00F934C1">
      <w:pPr>
        <w:pStyle w:val="TableofFigures"/>
      </w:pPr>
    </w:p>
    <w:p w:rsidR="00F934C1" w:rsidRDefault="00F934C1" w:rsidP="00F934C1">
      <w:pPr>
        <w:pStyle w:val="TableofFigures"/>
      </w:pPr>
      <w:r>
        <w:br w:type="page"/>
      </w:r>
      <w:bookmarkStart w:id="43" w:name="_Toc366583127"/>
    </w:p>
    <w:p w:rsidR="00F934C1" w:rsidRPr="00FA6DD7" w:rsidRDefault="00F934C1" w:rsidP="00F934C1">
      <w:pPr>
        <w:pStyle w:val="Heading1"/>
      </w:pPr>
      <w:bookmarkStart w:id="44" w:name="_Toc144819988"/>
      <w:r w:rsidRPr="00FA6DD7">
        <w:lastRenderedPageBreak/>
        <w:t>LIST OF ABBREVITIONS AND ACRONYMS</w:t>
      </w:r>
      <w:bookmarkEnd w:id="43"/>
      <w:bookmarkEnd w:id="44"/>
    </w:p>
    <w:tbl>
      <w:tblPr>
        <w:tblW w:w="9828" w:type="dxa"/>
        <w:tblLook w:val="04A0" w:firstRow="1" w:lastRow="0" w:firstColumn="1" w:lastColumn="0" w:noHBand="0" w:noVBand="1"/>
      </w:tblPr>
      <w:tblGrid>
        <w:gridCol w:w="1529"/>
        <w:gridCol w:w="8299"/>
      </w:tblGrid>
      <w:tr w:rsidR="00F934C1" w:rsidRPr="0029353F" w:rsidTr="00F934C1">
        <w:tc>
          <w:tcPr>
            <w:tcW w:w="1529" w:type="dxa"/>
          </w:tcPr>
          <w:p w:rsidR="00F934C1" w:rsidRPr="0029353F" w:rsidRDefault="00F934C1" w:rsidP="00F934C1">
            <w:pPr>
              <w:spacing w:before="100" w:beforeAutospacing="1" w:after="100" w:afterAutospacing="1"/>
            </w:pPr>
            <w:r>
              <w:t>AAS</w:t>
            </w:r>
          </w:p>
        </w:tc>
        <w:tc>
          <w:tcPr>
            <w:tcW w:w="8299" w:type="dxa"/>
          </w:tcPr>
          <w:p w:rsidR="00F934C1" w:rsidRPr="0029353F" w:rsidRDefault="00F934C1" w:rsidP="00F934C1">
            <w:pPr>
              <w:spacing w:before="100" w:beforeAutospacing="1" w:after="100" w:afterAutospacing="1"/>
            </w:pPr>
            <w:r w:rsidRPr="0029353F">
              <w:t>Atomic Absorption Spectrometry</w:t>
            </w:r>
          </w:p>
        </w:tc>
      </w:tr>
      <w:tr w:rsidR="00F934C1" w:rsidRPr="0029353F" w:rsidTr="00F934C1">
        <w:trPr>
          <w:trHeight w:val="503"/>
        </w:trPr>
        <w:tc>
          <w:tcPr>
            <w:tcW w:w="1529" w:type="dxa"/>
          </w:tcPr>
          <w:p w:rsidR="00F934C1" w:rsidRPr="0029353F" w:rsidRDefault="00F934C1" w:rsidP="00F934C1">
            <w:pPr>
              <w:spacing w:before="100" w:beforeAutospacing="1" w:after="100" w:afterAutospacing="1"/>
            </w:pPr>
            <w:r w:rsidRPr="0029353F">
              <w:t>ANOVA</w:t>
            </w:r>
          </w:p>
        </w:tc>
        <w:tc>
          <w:tcPr>
            <w:tcW w:w="8299" w:type="dxa"/>
          </w:tcPr>
          <w:p w:rsidR="00F934C1" w:rsidRPr="0029353F" w:rsidRDefault="00F934C1" w:rsidP="00F934C1">
            <w:pPr>
              <w:rPr>
                <w:rStyle w:val="st"/>
              </w:rPr>
            </w:pPr>
            <w:r w:rsidRPr="0029353F">
              <w:t>Analysis of Variance</w:t>
            </w:r>
          </w:p>
        </w:tc>
      </w:tr>
      <w:tr w:rsidR="00F934C1" w:rsidRPr="0029353F" w:rsidTr="00F934C1">
        <w:tc>
          <w:tcPr>
            <w:tcW w:w="1529" w:type="dxa"/>
          </w:tcPr>
          <w:p w:rsidR="00F934C1" w:rsidRPr="0029353F" w:rsidRDefault="00F934C1" w:rsidP="00F934C1">
            <w:pPr>
              <w:spacing w:before="100" w:beforeAutospacing="1" w:after="100" w:afterAutospacing="1"/>
            </w:pPr>
            <w:r w:rsidRPr="0029353F">
              <w:rPr>
                <w:rStyle w:val="hw"/>
              </w:rPr>
              <w:t>D</w:t>
            </w:r>
            <w:r>
              <w:rPr>
                <w:rStyle w:val="hw"/>
              </w:rPr>
              <w:t>AP</w:t>
            </w:r>
          </w:p>
        </w:tc>
        <w:tc>
          <w:tcPr>
            <w:tcW w:w="8299" w:type="dxa"/>
          </w:tcPr>
          <w:p w:rsidR="00F934C1" w:rsidRPr="0029353F" w:rsidRDefault="0036558A" w:rsidP="00F934C1">
            <w:hyperlink r:id="rId9" w:history="1">
              <w:r w:rsidR="00F934C1" w:rsidRPr="0029353F">
                <w:t>Di</w:t>
              </w:r>
              <w:r w:rsidR="00F934C1">
                <w:t>-ammonium</w:t>
              </w:r>
            </w:hyperlink>
            <w:r w:rsidR="00F934C1">
              <w:t xml:space="preserve"> Phosphate</w:t>
            </w:r>
          </w:p>
        </w:tc>
      </w:tr>
      <w:tr w:rsidR="00F934C1" w:rsidRPr="0029353F" w:rsidTr="00F934C1">
        <w:tc>
          <w:tcPr>
            <w:tcW w:w="1529" w:type="dxa"/>
          </w:tcPr>
          <w:p w:rsidR="00F934C1" w:rsidRPr="0029353F" w:rsidRDefault="00F934C1" w:rsidP="00F934C1">
            <w:pPr>
              <w:spacing w:before="100" w:beforeAutospacing="1" w:after="100" w:afterAutospacing="1"/>
            </w:pPr>
            <w:r w:rsidRPr="0029353F">
              <w:t>EC</w:t>
            </w:r>
          </w:p>
        </w:tc>
        <w:tc>
          <w:tcPr>
            <w:tcW w:w="8299" w:type="dxa"/>
          </w:tcPr>
          <w:p w:rsidR="00F934C1" w:rsidRPr="0029353F" w:rsidRDefault="00F934C1" w:rsidP="00F934C1">
            <w:r w:rsidRPr="0029353F">
              <w:t>Electrical Conductivity</w:t>
            </w:r>
          </w:p>
        </w:tc>
      </w:tr>
      <w:tr w:rsidR="00F934C1" w:rsidRPr="0029353F" w:rsidTr="00F934C1">
        <w:tc>
          <w:tcPr>
            <w:tcW w:w="1529" w:type="dxa"/>
          </w:tcPr>
          <w:p w:rsidR="00F934C1" w:rsidRPr="0029353F" w:rsidRDefault="00F934C1" w:rsidP="00F934C1">
            <w:pPr>
              <w:spacing w:before="100" w:beforeAutospacing="1" w:after="100" w:afterAutospacing="1"/>
            </w:pPr>
            <w:r w:rsidRPr="0029353F">
              <w:t>FAO</w:t>
            </w:r>
          </w:p>
        </w:tc>
        <w:tc>
          <w:tcPr>
            <w:tcW w:w="8299" w:type="dxa"/>
          </w:tcPr>
          <w:p w:rsidR="00F934C1" w:rsidRPr="0029353F" w:rsidRDefault="00F934C1" w:rsidP="00F934C1">
            <w:pPr>
              <w:spacing w:before="100" w:beforeAutospacing="1" w:after="100" w:afterAutospacing="1"/>
            </w:pPr>
            <w:r w:rsidRPr="0029353F">
              <w:t>Food and Agriculture Organization</w:t>
            </w:r>
          </w:p>
        </w:tc>
      </w:tr>
      <w:tr w:rsidR="00F934C1" w:rsidRPr="0029353F" w:rsidTr="00F934C1">
        <w:tc>
          <w:tcPr>
            <w:tcW w:w="1529" w:type="dxa"/>
          </w:tcPr>
          <w:p w:rsidR="00F934C1" w:rsidRPr="0029353F" w:rsidRDefault="00F934C1" w:rsidP="00F934C1">
            <w:pPr>
              <w:spacing w:before="100" w:beforeAutospacing="1" w:after="100" w:afterAutospacing="1"/>
            </w:pPr>
            <w:r w:rsidRPr="00BB4B6E">
              <w:t>FTIR</w:t>
            </w:r>
          </w:p>
        </w:tc>
        <w:tc>
          <w:tcPr>
            <w:tcW w:w="8299" w:type="dxa"/>
          </w:tcPr>
          <w:p w:rsidR="00F934C1" w:rsidRPr="0029353F" w:rsidRDefault="00F934C1" w:rsidP="00F934C1">
            <w:pPr>
              <w:spacing w:before="100" w:beforeAutospacing="1" w:after="100" w:afterAutospacing="1"/>
            </w:pPr>
            <w:r>
              <w:t xml:space="preserve">Fourier Transform Infra Red </w:t>
            </w:r>
          </w:p>
        </w:tc>
      </w:tr>
      <w:tr w:rsidR="00F934C1" w:rsidRPr="0029353F" w:rsidTr="00F934C1">
        <w:tc>
          <w:tcPr>
            <w:tcW w:w="1529" w:type="dxa"/>
          </w:tcPr>
          <w:p w:rsidR="00F934C1" w:rsidRPr="0029353F" w:rsidRDefault="00F934C1" w:rsidP="00F934C1">
            <w:pPr>
              <w:spacing w:before="100" w:beforeAutospacing="1" w:after="100" w:afterAutospacing="1"/>
            </w:pPr>
            <w:r w:rsidRPr="0029353F">
              <w:t>HA</w:t>
            </w:r>
          </w:p>
        </w:tc>
        <w:tc>
          <w:tcPr>
            <w:tcW w:w="8299" w:type="dxa"/>
          </w:tcPr>
          <w:p w:rsidR="00F934C1" w:rsidRPr="0029353F" w:rsidRDefault="00F934C1" w:rsidP="00F934C1">
            <w:pPr>
              <w:spacing w:before="100" w:beforeAutospacing="1" w:after="100" w:afterAutospacing="1"/>
            </w:pPr>
            <w:r w:rsidRPr="0029353F">
              <w:t>Hydroxyapatite</w:t>
            </w:r>
          </w:p>
        </w:tc>
      </w:tr>
      <w:tr w:rsidR="00F934C1" w:rsidRPr="0029353F" w:rsidTr="00F934C1">
        <w:tc>
          <w:tcPr>
            <w:tcW w:w="1529" w:type="dxa"/>
          </w:tcPr>
          <w:p w:rsidR="00F934C1" w:rsidRPr="0029353F" w:rsidRDefault="00F934C1" w:rsidP="00F934C1">
            <w:pPr>
              <w:spacing w:before="100" w:beforeAutospacing="1" w:after="100" w:afterAutospacing="1"/>
            </w:pPr>
            <w:r w:rsidRPr="0029353F">
              <w:t>MDL</w:t>
            </w:r>
          </w:p>
        </w:tc>
        <w:tc>
          <w:tcPr>
            <w:tcW w:w="8299" w:type="dxa"/>
          </w:tcPr>
          <w:p w:rsidR="00F934C1" w:rsidRPr="0029353F" w:rsidRDefault="00F934C1" w:rsidP="00F934C1">
            <w:r w:rsidRPr="0029353F">
              <w:t>Method Detection Limit</w:t>
            </w:r>
          </w:p>
        </w:tc>
      </w:tr>
      <w:tr w:rsidR="00F934C1" w:rsidRPr="0029353F" w:rsidTr="00F934C1">
        <w:tc>
          <w:tcPr>
            <w:tcW w:w="1529" w:type="dxa"/>
          </w:tcPr>
          <w:p w:rsidR="00F934C1" w:rsidRDefault="00F934C1" w:rsidP="00F934C1">
            <w:pPr>
              <w:spacing w:before="100" w:beforeAutospacing="1" w:after="100" w:afterAutospacing="1"/>
            </w:pPr>
            <w:r w:rsidRPr="00BB4B6E">
              <w:t>nHA</w:t>
            </w:r>
          </w:p>
        </w:tc>
        <w:tc>
          <w:tcPr>
            <w:tcW w:w="8299" w:type="dxa"/>
          </w:tcPr>
          <w:p w:rsidR="00F934C1" w:rsidRDefault="00F934C1" w:rsidP="00F934C1">
            <w:r>
              <w:t>Nanohydroxyapatites</w:t>
            </w:r>
          </w:p>
        </w:tc>
      </w:tr>
      <w:tr w:rsidR="00F934C1" w:rsidRPr="0029353F" w:rsidTr="00F934C1">
        <w:tc>
          <w:tcPr>
            <w:tcW w:w="1529" w:type="dxa"/>
          </w:tcPr>
          <w:p w:rsidR="00F934C1" w:rsidRPr="003A143A" w:rsidRDefault="00F934C1" w:rsidP="00F934C1">
            <w:pPr>
              <w:spacing w:before="100" w:beforeAutospacing="1" w:after="100" w:afterAutospacing="1"/>
              <w:rPr>
                <w:i/>
              </w:rPr>
            </w:pPr>
            <w:r>
              <w:rPr>
                <w:rStyle w:val="Emphasis"/>
                <w:i w:val="0"/>
              </w:rPr>
              <w:t>NPK</w:t>
            </w:r>
          </w:p>
        </w:tc>
        <w:tc>
          <w:tcPr>
            <w:tcW w:w="8299" w:type="dxa"/>
          </w:tcPr>
          <w:p w:rsidR="00F934C1" w:rsidRPr="0029353F" w:rsidRDefault="00F934C1" w:rsidP="00F934C1">
            <w:r>
              <w:rPr>
                <w:rStyle w:val="st"/>
              </w:rPr>
              <w:t>Nitrogen Phosphorus Potassium fertilizer</w:t>
            </w:r>
          </w:p>
        </w:tc>
      </w:tr>
      <w:tr w:rsidR="00F934C1" w:rsidRPr="0029353F" w:rsidTr="00F934C1">
        <w:tc>
          <w:tcPr>
            <w:tcW w:w="1529" w:type="dxa"/>
          </w:tcPr>
          <w:p w:rsidR="00F934C1" w:rsidRDefault="00F934C1" w:rsidP="00F934C1">
            <w:pPr>
              <w:spacing w:before="100" w:beforeAutospacing="1" w:after="100" w:afterAutospacing="1"/>
              <w:rPr>
                <w:rStyle w:val="Emphasis"/>
                <w:i w:val="0"/>
              </w:rPr>
            </w:pPr>
            <w:r>
              <w:rPr>
                <w:rStyle w:val="Emphasis"/>
                <w:i w:val="0"/>
              </w:rPr>
              <w:t>SEM</w:t>
            </w:r>
          </w:p>
        </w:tc>
        <w:tc>
          <w:tcPr>
            <w:tcW w:w="8299" w:type="dxa"/>
          </w:tcPr>
          <w:p w:rsidR="00F934C1" w:rsidRDefault="00F934C1" w:rsidP="00F934C1">
            <w:pPr>
              <w:rPr>
                <w:rStyle w:val="st"/>
              </w:rPr>
            </w:pPr>
            <w:r>
              <w:rPr>
                <w:rStyle w:val="st"/>
              </w:rPr>
              <w:t>Scanning Electron Microscopy</w:t>
            </w:r>
          </w:p>
        </w:tc>
      </w:tr>
      <w:tr w:rsidR="00F934C1" w:rsidRPr="0029353F" w:rsidTr="00F934C1">
        <w:tc>
          <w:tcPr>
            <w:tcW w:w="1529" w:type="dxa"/>
          </w:tcPr>
          <w:p w:rsidR="00F934C1" w:rsidRPr="0029353F" w:rsidRDefault="00F934C1" w:rsidP="00F934C1">
            <w:pPr>
              <w:spacing w:before="100" w:beforeAutospacing="1" w:after="100" w:afterAutospacing="1"/>
            </w:pPr>
            <w:r>
              <w:t>SIDs</w:t>
            </w:r>
          </w:p>
        </w:tc>
        <w:tc>
          <w:tcPr>
            <w:tcW w:w="8299" w:type="dxa"/>
          </w:tcPr>
          <w:p w:rsidR="00F934C1" w:rsidRPr="0029353F" w:rsidRDefault="00F934C1" w:rsidP="00F934C1">
            <w:pPr>
              <w:spacing w:before="100" w:beforeAutospacing="1" w:after="100" w:afterAutospacing="1"/>
            </w:pPr>
            <w:r w:rsidRPr="0029353F">
              <w:t>Sudden Infant Death Syndrome</w:t>
            </w:r>
          </w:p>
        </w:tc>
      </w:tr>
      <w:tr w:rsidR="00F934C1" w:rsidRPr="0029353F" w:rsidTr="00F934C1">
        <w:tc>
          <w:tcPr>
            <w:tcW w:w="1529" w:type="dxa"/>
          </w:tcPr>
          <w:p w:rsidR="00F934C1" w:rsidRPr="0029353F" w:rsidRDefault="00F934C1" w:rsidP="00F934C1">
            <w:pPr>
              <w:spacing w:before="100" w:beforeAutospacing="1" w:after="100" w:afterAutospacing="1"/>
            </w:pPr>
            <w:r w:rsidRPr="0029353F">
              <w:t>SNK</w:t>
            </w:r>
          </w:p>
        </w:tc>
        <w:tc>
          <w:tcPr>
            <w:tcW w:w="8299" w:type="dxa"/>
          </w:tcPr>
          <w:p w:rsidR="00F934C1" w:rsidRPr="0029353F" w:rsidRDefault="00F934C1" w:rsidP="00F934C1">
            <w:r w:rsidRPr="0029353F">
              <w:rPr>
                <w:rStyle w:val="st"/>
              </w:rPr>
              <w:t>Student-Newman-Kuels</w:t>
            </w:r>
            <w:r>
              <w:rPr>
                <w:rStyle w:val="st"/>
              </w:rPr>
              <w:t xml:space="preserve"> </w:t>
            </w:r>
            <w:r w:rsidRPr="0029353F">
              <w:rPr>
                <w:rStyle w:val="Emphasis"/>
              </w:rPr>
              <w:t>test</w:t>
            </w:r>
          </w:p>
        </w:tc>
      </w:tr>
      <w:tr w:rsidR="00F934C1" w:rsidRPr="0029353F" w:rsidTr="00F934C1">
        <w:tc>
          <w:tcPr>
            <w:tcW w:w="1529" w:type="dxa"/>
          </w:tcPr>
          <w:p w:rsidR="00F934C1" w:rsidRPr="0029353F" w:rsidRDefault="00F934C1" w:rsidP="00F934C1">
            <w:pPr>
              <w:spacing w:before="100" w:beforeAutospacing="1" w:after="100" w:afterAutospacing="1"/>
            </w:pPr>
            <w:r w:rsidRPr="00BB4B6E">
              <w:t>Syn</w:t>
            </w:r>
          </w:p>
        </w:tc>
        <w:tc>
          <w:tcPr>
            <w:tcW w:w="8299" w:type="dxa"/>
          </w:tcPr>
          <w:p w:rsidR="00F934C1" w:rsidRPr="0029353F" w:rsidRDefault="00F934C1" w:rsidP="00F934C1">
            <w:pPr>
              <w:rPr>
                <w:rStyle w:val="st"/>
              </w:rPr>
            </w:pPr>
            <w:r>
              <w:rPr>
                <w:rStyle w:val="st"/>
              </w:rPr>
              <w:t>Synthetic</w:t>
            </w:r>
          </w:p>
        </w:tc>
      </w:tr>
      <w:tr w:rsidR="00F934C1" w:rsidRPr="0029353F" w:rsidTr="00F934C1">
        <w:tc>
          <w:tcPr>
            <w:tcW w:w="1529" w:type="dxa"/>
          </w:tcPr>
          <w:p w:rsidR="00F934C1" w:rsidRPr="0029353F" w:rsidRDefault="00F934C1" w:rsidP="00F934C1">
            <w:pPr>
              <w:spacing w:before="100" w:beforeAutospacing="1" w:after="100" w:afterAutospacing="1"/>
            </w:pPr>
            <w:r>
              <w:t>WHO</w:t>
            </w:r>
          </w:p>
        </w:tc>
        <w:tc>
          <w:tcPr>
            <w:tcW w:w="8299" w:type="dxa"/>
          </w:tcPr>
          <w:p w:rsidR="00F934C1" w:rsidRPr="0029353F" w:rsidRDefault="00F934C1" w:rsidP="00F934C1">
            <w:pPr>
              <w:spacing w:before="100" w:beforeAutospacing="1" w:after="100" w:afterAutospacing="1"/>
            </w:pPr>
            <w:r w:rsidRPr="0029353F">
              <w:t>World Health Organization</w:t>
            </w:r>
          </w:p>
        </w:tc>
      </w:tr>
      <w:tr w:rsidR="00F934C1" w:rsidRPr="0029353F" w:rsidTr="00F934C1">
        <w:tc>
          <w:tcPr>
            <w:tcW w:w="1529" w:type="dxa"/>
          </w:tcPr>
          <w:p w:rsidR="00F934C1" w:rsidRDefault="00F934C1" w:rsidP="00F934C1">
            <w:pPr>
              <w:spacing w:before="100" w:beforeAutospacing="1" w:after="100" w:afterAutospacing="1"/>
            </w:pPr>
            <w:r>
              <w:t>XRD</w:t>
            </w:r>
          </w:p>
        </w:tc>
        <w:tc>
          <w:tcPr>
            <w:tcW w:w="8299" w:type="dxa"/>
          </w:tcPr>
          <w:p w:rsidR="00F934C1" w:rsidRPr="0029353F" w:rsidRDefault="00F934C1" w:rsidP="00F934C1">
            <w:pPr>
              <w:spacing w:before="100" w:beforeAutospacing="1" w:after="100" w:afterAutospacing="1"/>
            </w:pPr>
            <w:r>
              <w:t>X- Ray Diffractometry</w:t>
            </w:r>
          </w:p>
        </w:tc>
      </w:tr>
    </w:tbl>
    <w:p w:rsidR="00F934C1" w:rsidRPr="003C670D" w:rsidRDefault="00F934C1" w:rsidP="00F934C1">
      <w:r>
        <w:br w:type="page"/>
      </w:r>
    </w:p>
    <w:p w:rsidR="00F934C1" w:rsidRPr="00FA6DD7" w:rsidRDefault="00F934C1" w:rsidP="00F934C1">
      <w:pPr>
        <w:pStyle w:val="Heading1"/>
      </w:pPr>
      <w:bookmarkStart w:id="45" w:name="_Toc144819989"/>
      <w:r w:rsidRPr="00FA6DD7">
        <w:lastRenderedPageBreak/>
        <w:t>ABSTRACT</w:t>
      </w:r>
      <w:bookmarkEnd w:id="45"/>
    </w:p>
    <w:p w:rsidR="00F934C1" w:rsidRDefault="00F934C1" w:rsidP="00F934C1">
      <w:pPr>
        <w:spacing w:line="240" w:lineRule="auto"/>
      </w:pPr>
      <w:r w:rsidRPr="008A1E12">
        <w:rPr>
          <w:bCs/>
        </w:rPr>
        <w:t xml:space="preserve">More than 9.1 million people globally are affected by famine. Spinach, kales and beans </w:t>
      </w:r>
      <w:r>
        <w:rPr>
          <w:bCs/>
        </w:rPr>
        <w:t xml:space="preserve">are </w:t>
      </w:r>
      <w:r w:rsidRPr="008A1E12">
        <w:rPr>
          <w:bCs/>
        </w:rPr>
        <w:t>among vegetable</w:t>
      </w:r>
      <w:r>
        <w:rPr>
          <w:bCs/>
        </w:rPr>
        <w:t>s</w:t>
      </w:r>
      <w:r w:rsidRPr="008A1E12">
        <w:rPr>
          <w:bCs/>
        </w:rPr>
        <w:t xml:space="preserve"> promoted for consumption as an intervention</w:t>
      </w:r>
      <w:r>
        <w:rPr>
          <w:bCs/>
        </w:rPr>
        <w:t xml:space="preserve"> strategy</w:t>
      </w:r>
      <w:r w:rsidRPr="008A1E12">
        <w:rPr>
          <w:bCs/>
        </w:rPr>
        <w:t xml:space="preserve">. </w:t>
      </w:r>
      <w:r>
        <w:t>U</w:t>
      </w:r>
      <w:r w:rsidRPr="008A1E12">
        <w:t>ntil the development of nanofertilizer</w:t>
      </w:r>
      <w:r>
        <w:t xml:space="preserve">s such as </w:t>
      </w:r>
      <w:r w:rsidRPr="008A1E12">
        <w:t>synthetic hydroxyapatite (Syn nHA)</w:t>
      </w:r>
      <w:r>
        <w:rPr>
          <w:bCs/>
        </w:rPr>
        <w:t>, boosting vegetable production has been by employing</w:t>
      </w:r>
      <w:r w:rsidRPr="008A1E12">
        <w:rPr>
          <w:bCs/>
        </w:rPr>
        <w:t xml:space="preserve"> c</w:t>
      </w:r>
      <w:r w:rsidRPr="008A1E12">
        <w:t>ommercial and organic fertilizers. Other than being micro</w:t>
      </w:r>
      <w:r>
        <w:t>-</w:t>
      </w:r>
      <w:r w:rsidRPr="008A1E12">
        <w:t>sized, nanofertilizers</w:t>
      </w:r>
      <w:r>
        <w:t xml:space="preserve"> </w:t>
      </w:r>
      <w:r w:rsidRPr="008A1E12">
        <w:t>have</w:t>
      </w:r>
      <w:r>
        <w:t xml:space="preserve"> </w:t>
      </w:r>
      <w:r w:rsidRPr="008A1E12">
        <w:t>reduce</w:t>
      </w:r>
      <w:r>
        <w:t>d</w:t>
      </w:r>
      <w:r w:rsidRPr="008A1E12">
        <w:t xml:space="preserve"> uptake of harmful heavy metals </w:t>
      </w:r>
      <w:r>
        <w:t xml:space="preserve">like Pb, Cd, and </w:t>
      </w:r>
      <w:r w:rsidRPr="008A1E12">
        <w:t>improve</w:t>
      </w:r>
      <w:r>
        <w:t>d</w:t>
      </w:r>
      <w:r w:rsidRPr="008A1E12">
        <w:t xml:space="preserve"> growth performance (height, dry weigh</w:t>
      </w:r>
      <w:r>
        <w:t xml:space="preserve">t, </w:t>
      </w:r>
      <w:r w:rsidRPr="008A1E12">
        <w:t>leaf diameter</w:t>
      </w:r>
      <w:r>
        <w:t xml:space="preserve"> </w:t>
      </w:r>
      <w:r w:rsidRPr="008A1E12">
        <w:t xml:space="preserve">and number of leaves) of crops </w:t>
      </w:r>
      <w:r>
        <w:t xml:space="preserve">due to their </w:t>
      </w:r>
      <w:r w:rsidRPr="008A1E12">
        <w:t xml:space="preserve">numerous adsorption sites. </w:t>
      </w:r>
      <w:r>
        <w:t xml:space="preserve">Further advantages include, being stable, non-toxic and having </w:t>
      </w:r>
      <w:r w:rsidRPr="00BB4B6E">
        <w:t>enhanced</w:t>
      </w:r>
      <w:r>
        <w:t xml:space="preserve"> surface area to volume ratio. Use of </w:t>
      </w:r>
      <w:r w:rsidRPr="008A1E12">
        <w:t xml:space="preserve">over 130 billion tones of bone </w:t>
      </w:r>
      <w:r>
        <w:t>being dumped per year to prepare nanofertilizers is likely to reduce its</w:t>
      </w:r>
      <w:r w:rsidRPr="008A1E12">
        <w:t xml:space="preserve"> environmental menace</w:t>
      </w:r>
      <w:r>
        <w:t xml:space="preserve">. This study envisaged using </w:t>
      </w:r>
      <w:r w:rsidRPr="008A1E12">
        <w:t>bone</w:t>
      </w:r>
      <w:r>
        <w:t xml:space="preserve">s to synthesize nanofertilizers </w:t>
      </w:r>
      <w:r w:rsidRPr="008A1E12">
        <w:t xml:space="preserve">(bone nHA) </w:t>
      </w:r>
      <w:r>
        <w:t>and</w:t>
      </w:r>
      <w:r w:rsidRPr="008A1E12">
        <w:t>. investigated</w:t>
      </w:r>
      <w:r>
        <w:t xml:space="preserve"> the effect of bone nHA and Syn </w:t>
      </w:r>
      <w:r w:rsidRPr="008A1E12">
        <w:t>nHA nano-fertilizers on Cd and Pb uptake and adsorption, growth performance, and nutrient release in beans, spinach and kale leaves</w:t>
      </w:r>
      <w:r>
        <w:t xml:space="preserve"> grown for a 90 day period</w:t>
      </w:r>
      <w:r w:rsidRPr="008A1E12">
        <w:t xml:space="preserve">. </w:t>
      </w:r>
      <w:r>
        <w:t xml:space="preserve">Both bone-nHA and Syn </w:t>
      </w:r>
      <w:r w:rsidRPr="008A1E12">
        <w:t>nHA</w:t>
      </w:r>
      <w:r>
        <w:t xml:space="preserve"> were encapsulated with commercial DAP and NPK fertilizers. </w:t>
      </w:r>
      <w:r w:rsidRPr="008A1E12">
        <w:t>The technique</w:t>
      </w:r>
      <w:r>
        <w:t xml:space="preserve">s </w:t>
      </w:r>
      <w:r w:rsidRPr="008A1E12">
        <w:t>SEM, XRD, and FTIR</w:t>
      </w:r>
      <w:r>
        <w:t xml:space="preserve"> were employed to c</w:t>
      </w:r>
      <w:r w:rsidRPr="008A1E12">
        <w:t>haracteriz</w:t>
      </w:r>
      <w:r>
        <w:t>e the nanofertilizers, while AAS was used to determine levels of Cd</w:t>
      </w:r>
      <w:r w:rsidRPr="008A1E12">
        <w:t xml:space="preserve"> and </w:t>
      </w:r>
      <w:r>
        <w:t xml:space="preserve">Pb, </w:t>
      </w:r>
      <w:r w:rsidRPr="008A1E12">
        <w:t>and UV measured NO</w:t>
      </w:r>
      <w:r w:rsidRPr="008A1E12">
        <w:rPr>
          <w:vertAlign w:val="subscript"/>
        </w:rPr>
        <w:t>3</w:t>
      </w:r>
      <w:r w:rsidRPr="008A1E12">
        <w:rPr>
          <w:vertAlign w:val="superscript"/>
        </w:rPr>
        <w:t>-</w:t>
      </w:r>
      <w:r w:rsidRPr="008A1E12">
        <w:t xml:space="preserve"> and PO</w:t>
      </w:r>
      <w:r w:rsidRPr="008A1E12">
        <w:rPr>
          <w:vertAlign w:val="subscript"/>
        </w:rPr>
        <w:t>4</w:t>
      </w:r>
      <w:r w:rsidRPr="008A1E12">
        <w:rPr>
          <w:vertAlign w:val="superscript"/>
        </w:rPr>
        <w:t>3-</w:t>
      </w:r>
      <w:r>
        <w:t>levels</w:t>
      </w:r>
      <w:r w:rsidRPr="008A1E12">
        <w:t xml:space="preserve">. The </w:t>
      </w:r>
      <w:r>
        <w:t>b</w:t>
      </w:r>
      <w:r w:rsidRPr="008A1E12">
        <w:t>one nHA</w:t>
      </w:r>
      <w:r>
        <w:t xml:space="preserve"> was less coagulated with significantly </w:t>
      </w:r>
      <w:r w:rsidRPr="008A1E12">
        <w:t xml:space="preserve">smaller </w:t>
      </w:r>
      <w:r>
        <w:t xml:space="preserve">diameter compared to Syn </w:t>
      </w:r>
      <w:r w:rsidRPr="008A1E12">
        <w:t xml:space="preserve">nHA (P˂0.05). </w:t>
      </w:r>
      <w:r>
        <w:t xml:space="preserve">Further, bone-nHA </w:t>
      </w:r>
      <w:r w:rsidRPr="008A1E12">
        <w:t>significantly reduc</w:t>
      </w:r>
      <w:r>
        <w:t xml:space="preserve">ed </w:t>
      </w:r>
      <w:r w:rsidRPr="008A1E12">
        <w:t>Cd</w:t>
      </w:r>
      <w:r>
        <w:t xml:space="preserve"> (range 58 – 89 %) and</w:t>
      </w:r>
      <w:r w:rsidRPr="008A1E12">
        <w:t xml:space="preserve"> Pb </w:t>
      </w:r>
      <w:r>
        <w:t>(range 62 - 91 %)</w:t>
      </w:r>
      <w:r w:rsidRPr="008A1E12">
        <w:t xml:space="preserve"> uptake and </w:t>
      </w:r>
      <w:r>
        <w:t xml:space="preserve">had </w:t>
      </w:r>
      <w:r w:rsidRPr="008A1E12">
        <w:t>higher adsorption</w:t>
      </w:r>
      <w:r>
        <w:t xml:space="preserve"> of the metals </w:t>
      </w:r>
      <w:r w:rsidRPr="008A1E12">
        <w:t>(P˂0.05).</w:t>
      </w:r>
      <w:r>
        <w:t xml:space="preserve"> G</w:t>
      </w:r>
      <w:r w:rsidRPr="008A1E12">
        <w:t>rowth performance parameter</w:t>
      </w:r>
      <w:r>
        <w:t xml:space="preserve">s </w:t>
      </w:r>
      <w:r w:rsidRPr="008A1E12">
        <w:t>for the</w:t>
      </w:r>
      <w:r>
        <w:t xml:space="preserve"> crops grown with b</w:t>
      </w:r>
      <w:r w:rsidRPr="008A1E12">
        <w:t>one-nHA</w:t>
      </w:r>
      <w:r>
        <w:t xml:space="preserve"> improved by over 56 %, being </w:t>
      </w:r>
      <w:r w:rsidRPr="008A1E12">
        <w:t xml:space="preserve">better </w:t>
      </w:r>
      <w:r>
        <w:t xml:space="preserve">than those grown with the Syn </w:t>
      </w:r>
      <w:r w:rsidRPr="008A1E12">
        <w:t>nHA</w:t>
      </w:r>
      <w:r>
        <w:t xml:space="preserve"> and it is encapsulated nanofertilizers </w:t>
      </w:r>
      <w:r w:rsidRPr="008A1E12">
        <w:t>(P˂0.0</w:t>
      </w:r>
      <w:r>
        <w:t>1</w:t>
      </w:r>
      <w:r w:rsidRPr="008A1E12">
        <w:t>).</w:t>
      </w:r>
      <w:r>
        <w:t xml:space="preserve"> Results support presence of higher number of</w:t>
      </w:r>
      <w:r w:rsidRPr="008A1E12">
        <w:t xml:space="preserve"> adsorption sites</w:t>
      </w:r>
      <w:r>
        <w:t xml:space="preserve"> in the b</w:t>
      </w:r>
      <w:r w:rsidRPr="008A1E12">
        <w:t>one-nHA</w:t>
      </w:r>
      <w:r>
        <w:t xml:space="preserve"> implying a better performance as a nanofertilizer. At 40 days</w:t>
      </w:r>
      <w:r w:rsidRPr="008A1E12">
        <w:t xml:space="preserve"> bone nHA had </w:t>
      </w:r>
      <w:r>
        <w:t>significantly higher</w:t>
      </w:r>
      <w:r w:rsidRPr="008A1E12">
        <w:t xml:space="preserve"> nitrate release rate of </w:t>
      </w:r>
      <w:r>
        <w:t xml:space="preserve">28 % in comparison with syn nHA </w:t>
      </w:r>
      <w:r w:rsidRPr="008A1E12">
        <w:t>(P˂0.0</w:t>
      </w:r>
      <w:r>
        <w:t>1</w:t>
      </w:r>
      <w:r w:rsidRPr="008A1E12">
        <w:t xml:space="preserve">). Adsorption </w:t>
      </w:r>
      <w:r>
        <w:t>equilibrium data fitted well with</w:t>
      </w:r>
      <w:r w:rsidRPr="008A1E12">
        <w:t xml:space="preserve"> Langmuir for Cd while </w:t>
      </w:r>
      <w:r>
        <w:t xml:space="preserve">Pb fitted well with Freundlich isotherm. Bone </w:t>
      </w:r>
      <w:r w:rsidRPr="00BB4B6E">
        <w:t xml:space="preserve">nHA </w:t>
      </w:r>
      <w:r w:rsidRPr="00BB4B6E">
        <w:rPr>
          <w:bCs/>
        </w:rPr>
        <w:t>nanofertilizers are recommended</w:t>
      </w:r>
      <w:r>
        <w:rPr>
          <w:bCs/>
        </w:rPr>
        <w:t xml:space="preserve"> to reducing Cd </w:t>
      </w:r>
      <w:r w:rsidRPr="00714158">
        <w:rPr>
          <w:bCs/>
        </w:rPr>
        <w:t xml:space="preserve">and </w:t>
      </w:r>
      <w:r>
        <w:rPr>
          <w:bCs/>
        </w:rPr>
        <w:t xml:space="preserve">Pb </w:t>
      </w:r>
      <w:r w:rsidRPr="00714158">
        <w:rPr>
          <w:bCs/>
        </w:rPr>
        <w:t>uptake</w:t>
      </w:r>
      <w:r>
        <w:rPr>
          <w:bCs/>
        </w:rPr>
        <w:t xml:space="preserve"> and </w:t>
      </w:r>
      <w:r w:rsidRPr="00714158">
        <w:rPr>
          <w:bCs/>
        </w:rPr>
        <w:t>adsorption,</w:t>
      </w:r>
      <w:r>
        <w:rPr>
          <w:bCs/>
        </w:rPr>
        <w:t xml:space="preserve"> improving </w:t>
      </w:r>
      <w:r w:rsidRPr="00714158">
        <w:rPr>
          <w:bCs/>
        </w:rPr>
        <w:t xml:space="preserve">growth performance and nutrient release </w:t>
      </w:r>
      <w:r w:rsidRPr="008A1E12">
        <w:t>o</w:t>
      </w:r>
      <w:r>
        <w:t xml:space="preserve">n growing beans </w:t>
      </w:r>
      <w:r>
        <w:rPr>
          <w:color w:val="0E101A"/>
        </w:rPr>
        <w:t>(</w:t>
      </w:r>
      <w:r w:rsidRPr="00BB4B6E">
        <w:rPr>
          <w:rStyle w:val="Emphasis"/>
          <w:rFonts w:eastAsiaTheme="majorEastAsia"/>
          <w:color w:val="0E101A"/>
        </w:rPr>
        <w:t>P. Vulgaris L</w:t>
      </w:r>
      <w:r w:rsidRPr="00BB4B6E">
        <w:rPr>
          <w:color w:val="0E101A"/>
        </w:rPr>
        <w:t>.),</w:t>
      </w:r>
      <w:r>
        <w:rPr>
          <w:color w:val="0E101A"/>
        </w:rPr>
        <w:t xml:space="preserve"> spinach </w:t>
      </w:r>
      <w:r w:rsidRPr="00BB4B6E">
        <w:rPr>
          <w:color w:val="0E101A"/>
        </w:rPr>
        <w:t>(</w:t>
      </w:r>
      <w:r w:rsidRPr="00BB4B6E">
        <w:rPr>
          <w:rStyle w:val="Emphasis"/>
          <w:rFonts w:eastAsiaTheme="majorEastAsia"/>
          <w:color w:val="0E101A"/>
        </w:rPr>
        <w:t>Spinacia oleracea</w:t>
      </w:r>
      <w:r w:rsidRPr="00BB4B6E">
        <w:rPr>
          <w:color w:val="0E101A"/>
        </w:rPr>
        <w:t>)</w:t>
      </w:r>
      <w:r>
        <w:rPr>
          <w:color w:val="0E101A"/>
        </w:rPr>
        <w:t xml:space="preserve"> and </w:t>
      </w:r>
      <w:r>
        <w:rPr>
          <w:bCs/>
          <w:color w:val="0E101A"/>
        </w:rPr>
        <w:t>k</w:t>
      </w:r>
      <w:r w:rsidRPr="004E5BBF">
        <w:rPr>
          <w:bCs/>
          <w:color w:val="0E101A"/>
        </w:rPr>
        <w:t xml:space="preserve">ales </w:t>
      </w:r>
      <w:r w:rsidRPr="00BB4B6E">
        <w:rPr>
          <w:bCs/>
          <w:color w:val="0E101A"/>
        </w:rPr>
        <w:t>(</w:t>
      </w:r>
      <w:r w:rsidRPr="00BB4B6E">
        <w:rPr>
          <w:bCs/>
          <w:i/>
          <w:iCs/>
          <w:color w:val="0E101A"/>
        </w:rPr>
        <w:t>Brassica oleracea acephala</w:t>
      </w:r>
      <w:r w:rsidRPr="00BB4B6E">
        <w:rPr>
          <w:bCs/>
          <w:color w:val="0E101A"/>
        </w:rPr>
        <w:t>)</w:t>
      </w:r>
      <w:r>
        <w:t>.</w:t>
      </w:r>
    </w:p>
    <w:p w:rsidR="00F934C1" w:rsidRDefault="00F934C1" w:rsidP="00F934C1"/>
    <w:p w:rsidR="00F934C1" w:rsidRDefault="00F934C1" w:rsidP="00F934C1"/>
    <w:p w:rsidR="00F934C1" w:rsidRDefault="00F934C1" w:rsidP="00F934C1">
      <w:pPr>
        <w:sectPr w:rsidR="00F934C1" w:rsidSect="00F934C1">
          <w:headerReference w:type="default" r:id="rId10"/>
          <w:headerReference w:type="first" r:id="rId11"/>
          <w:pgSz w:w="11906" w:h="16838" w:code="9"/>
          <w:pgMar w:top="1728" w:right="1440" w:bottom="1440" w:left="2304" w:header="720" w:footer="720" w:gutter="0"/>
          <w:pgNumType w:fmt="lowerRoman"/>
          <w:cols w:space="720"/>
          <w:titlePg/>
          <w:docGrid w:linePitch="360"/>
        </w:sectPr>
      </w:pPr>
    </w:p>
    <w:p w:rsidR="00F934C1" w:rsidRPr="00621E85" w:rsidRDefault="00F934C1" w:rsidP="00F934C1">
      <w:pPr>
        <w:pStyle w:val="Heading1"/>
      </w:pPr>
      <w:bookmarkStart w:id="46" w:name="_Toc144819990"/>
      <w:r w:rsidRPr="00621E85">
        <w:lastRenderedPageBreak/>
        <w:t>CHAPTER ONE</w:t>
      </w:r>
      <w:bookmarkEnd w:id="46"/>
    </w:p>
    <w:p w:rsidR="00F934C1" w:rsidRPr="00FF635A" w:rsidRDefault="00F934C1" w:rsidP="00F934C1">
      <w:pPr>
        <w:pStyle w:val="Heading1"/>
      </w:pPr>
      <w:bookmarkStart w:id="47" w:name="_Toc144819991"/>
      <w:r w:rsidRPr="00FF635A">
        <w:t>INTRODUCTION</w:t>
      </w:r>
      <w:bookmarkEnd w:id="47"/>
    </w:p>
    <w:p w:rsidR="00F934C1" w:rsidRPr="007B3681" w:rsidRDefault="00F934C1" w:rsidP="00F934C1">
      <w:pPr>
        <w:pStyle w:val="Heading2"/>
      </w:pPr>
      <w:bookmarkStart w:id="48" w:name="_Toc144819992"/>
      <w:r w:rsidRPr="007B3681">
        <w:t xml:space="preserve">1.1 Background </w:t>
      </w:r>
      <w:r w:rsidRPr="00FF635A">
        <w:t>Information</w:t>
      </w:r>
      <w:bookmarkEnd w:id="48"/>
    </w:p>
    <w:p w:rsidR="00F934C1" w:rsidRDefault="00F934C1" w:rsidP="00F934C1">
      <w:pPr>
        <w:pStyle w:val="NormalWeb"/>
        <w:spacing w:before="0" w:beforeAutospacing="0" w:after="0" w:afterAutospacing="0" w:line="480" w:lineRule="auto"/>
        <w:rPr>
          <w:color w:val="0E101A"/>
        </w:rPr>
      </w:pPr>
      <w:r w:rsidRPr="00CA4743">
        <w:rPr>
          <w:color w:val="0E101A"/>
        </w:rPr>
        <w:t>The world’s population continues to grow</w:t>
      </w:r>
      <w:r>
        <w:rPr>
          <w:color w:val="0E101A"/>
        </w:rPr>
        <w:t>, and is projected to reach 8.0</w:t>
      </w:r>
      <w:r w:rsidRPr="00CA4743">
        <w:rPr>
          <w:color w:val="0E101A"/>
        </w:rPr>
        <w:t xml:space="preserve"> billion by the year </w:t>
      </w:r>
      <w:r>
        <w:rPr>
          <w:color w:val="0E101A"/>
        </w:rPr>
        <w:t xml:space="preserve">2030 (FAO, 2015). This global </w:t>
      </w:r>
      <w:r w:rsidRPr="00CA4743">
        <w:rPr>
          <w:color w:val="0E101A"/>
        </w:rPr>
        <w:t xml:space="preserve">population </w:t>
      </w:r>
      <w:r>
        <w:rPr>
          <w:color w:val="0E101A"/>
        </w:rPr>
        <w:t xml:space="preserve">increase, </w:t>
      </w:r>
      <w:r w:rsidRPr="00CA4743">
        <w:rPr>
          <w:color w:val="0E101A"/>
        </w:rPr>
        <w:t xml:space="preserve">and in addition to rapid urbanization </w:t>
      </w:r>
      <w:r>
        <w:rPr>
          <w:color w:val="0E101A"/>
        </w:rPr>
        <w:t xml:space="preserve">and </w:t>
      </w:r>
      <w:r w:rsidRPr="00CA4743">
        <w:rPr>
          <w:color w:val="0E101A"/>
        </w:rPr>
        <w:t xml:space="preserve">limited agricultural </w:t>
      </w:r>
      <w:r>
        <w:rPr>
          <w:color w:val="0E101A"/>
        </w:rPr>
        <w:t xml:space="preserve">land </w:t>
      </w:r>
      <w:r w:rsidRPr="00CA4743">
        <w:rPr>
          <w:color w:val="0E101A"/>
        </w:rPr>
        <w:t>leaves agronomists with a</w:t>
      </w:r>
      <w:r>
        <w:rPr>
          <w:color w:val="0E101A"/>
        </w:rPr>
        <w:t xml:space="preserve"> </w:t>
      </w:r>
      <w:r w:rsidRPr="00CA4743">
        <w:rPr>
          <w:color w:val="0E101A"/>
        </w:rPr>
        <w:t>challenge</w:t>
      </w:r>
      <w:r>
        <w:rPr>
          <w:color w:val="0E101A"/>
        </w:rPr>
        <w:t xml:space="preserve"> to </w:t>
      </w:r>
      <w:r w:rsidRPr="00CA4743">
        <w:rPr>
          <w:color w:val="0E101A"/>
        </w:rPr>
        <w:t>feed</w:t>
      </w:r>
      <w:r>
        <w:rPr>
          <w:color w:val="0E101A"/>
        </w:rPr>
        <w:t xml:space="preserve"> the population</w:t>
      </w:r>
      <w:r w:rsidRPr="00CA4743">
        <w:rPr>
          <w:color w:val="0E101A"/>
        </w:rPr>
        <w:t xml:space="preserve">. The </w:t>
      </w:r>
      <w:r>
        <w:rPr>
          <w:color w:val="0E101A"/>
        </w:rPr>
        <w:t>human settlement</w:t>
      </w:r>
      <w:r w:rsidRPr="00CA4743">
        <w:rPr>
          <w:color w:val="0E101A"/>
        </w:rPr>
        <w:t xml:space="preserve"> in rural and urban areas </w:t>
      </w:r>
      <w:r>
        <w:rPr>
          <w:color w:val="0E101A"/>
        </w:rPr>
        <w:t xml:space="preserve">is as a result attributed to the </w:t>
      </w:r>
      <w:r w:rsidRPr="00CA4743">
        <w:rPr>
          <w:color w:val="0E101A"/>
        </w:rPr>
        <w:t>decreas</w:t>
      </w:r>
      <w:r>
        <w:rPr>
          <w:color w:val="0E101A"/>
        </w:rPr>
        <w:t xml:space="preserve">e in </w:t>
      </w:r>
      <w:r w:rsidRPr="00CA4743">
        <w:rPr>
          <w:color w:val="0E101A"/>
        </w:rPr>
        <w:t>agricultural land (Rameshaiah</w:t>
      </w:r>
      <w:r>
        <w:rPr>
          <w:color w:val="0E101A"/>
        </w:rPr>
        <w:t xml:space="preserve"> </w:t>
      </w:r>
      <w:r w:rsidRPr="00CA4743">
        <w:rPr>
          <w:i/>
          <w:iCs/>
          <w:color w:val="0E101A"/>
        </w:rPr>
        <w:t>et al</w:t>
      </w:r>
      <w:r w:rsidRPr="00CA4743">
        <w:rPr>
          <w:color w:val="0E101A"/>
        </w:rPr>
        <w:t>., 2015). Furthermore, satellite images reveal a reduction of fertile land due to leaching and eutrophication of macro and micro-nutrients</w:t>
      </w:r>
      <w:r>
        <w:rPr>
          <w:color w:val="0E101A"/>
        </w:rPr>
        <w:t xml:space="preserve"> like, nitrates </w:t>
      </w:r>
      <w:r w:rsidRPr="00CA4743">
        <w:rPr>
          <w:color w:val="0E101A"/>
        </w:rPr>
        <w:t>(NO</w:t>
      </w:r>
      <w:r w:rsidRPr="00CA4743">
        <w:rPr>
          <w:color w:val="0E101A"/>
          <w:vertAlign w:val="subscript"/>
        </w:rPr>
        <w:t>3</w:t>
      </w:r>
      <w:r w:rsidRPr="00CA4743">
        <w:rPr>
          <w:color w:val="0E101A"/>
          <w:vertAlign w:val="superscript"/>
        </w:rPr>
        <w:t>-</w:t>
      </w:r>
      <w:r>
        <w:rPr>
          <w:color w:val="0E101A"/>
        </w:rPr>
        <w:t>)</w:t>
      </w:r>
      <w:r w:rsidRPr="00CA4743">
        <w:rPr>
          <w:color w:val="0E101A"/>
        </w:rPr>
        <w:t xml:space="preserve">, </w:t>
      </w:r>
      <w:r>
        <w:rPr>
          <w:color w:val="0E101A"/>
        </w:rPr>
        <w:t>phosphates (</w:t>
      </w:r>
      <w:r w:rsidRPr="00CA4743">
        <w:rPr>
          <w:color w:val="0E101A"/>
        </w:rPr>
        <w:t>PO</w:t>
      </w:r>
      <w:r w:rsidRPr="00CA4743">
        <w:rPr>
          <w:color w:val="0E101A"/>
          <w:vertAlign w:val="subscript"/>
        </w:rPr>
        <w:t>4</w:t>
      </w:r>
      <w:r w:rsidRPr="00CA4743">
        <w:rPr>
          <w:color w:val="0E101A"/>
          <w:vertAlign w:val="superscript"/>
        </w:rPr>
        <w:t>3-</w:t>
      </w:r>
      <w:r>
        <w:rPr>
          <w:color w:val="0E101A"/>
        </w:rPr>
        <w:t>)</w:t>
      </w:r>
      <w:r w:rsidRPr="00CA4743">
        <w:rPr>
          <w:color w:val="0E101A"/>
        </w:rPr>
        <w:t xml:space="preserve"> and </w:t>
      </w:r>
      <w:r>
        <w:rPr>
          <w:color w:val="0E101A"/>
        </w:rPr>
        <w:t>potassium (</w:t>
      </w:r>
      <w:r w:rsidRPr="00CA4743">
        <w:rPr>
          <w:color w:val="0E101A"/>
        </w:rPr>
        <w:t>K</w:t>
      </w:r>
      <w:r w:rsidRPr="00CA4743">
        <w:rPr>
          <w:color w:val="0E101A"/>
          <w:vertAlign w:val="superscript"/>
        </w:rPr>
        <w:t>+</w:t>
      </w:r>
      <w:r w:rsidRPr="00CA4743">
        <w:rPr>
          <w:color w:val="0E101A"/>
        </w:rPr>
        <w:t>)</w:t>
      </w:r>
      <w:r>
        <w:rPr>
          <w:color w:val="0E101A"/>
        </w:rPr>
        <w:t xml:space="preserve"> due to</w:t>
      </w:r>
      <w:r w:rsidRPr="00CA4743">
        <w:rPr>
          <w:color w:val="0E101A"/>
        </w:rPr>
        <w:t xml:space="preserve"> excessive use of commercial fertilizers (</w:t>
      </w:r>
      <w:r>
        <w:rPr>
          <w:color w:val="0E101A"/>
        </w:rPr>
        <w:t>Willer</w:t>
      </w:r>
      <w:r w:rsidRPr="00CA4743">
        <w:rPr>
          <w:color w:val="0E101A"/>
        </w:rPr>
        <w:t xml:space="preserve"> and </w:t>
      </w:r>
      <w:r>
        <w:rPr>
          <w:color w:val="0E101A"/>
        </w:rPr>
        <w:t>Lernoud</w:t>
      </w:r>
      <w:r w:rsidRPr="00CA4743">
        <w:rPr>
          <w:color w:val="0E101A"/>
        </w:rPr>
        <w:t>, 20</w:t>
      </w:r>
      <w:r>
        <w:rPr>
          <w:color w:val="0E101A"/>
        </w:rPr>
        <w:t xml:space="preserve">15; Nilwala </w:t>
      </w:r>
      <w:r w:rsidRPr="00CA4743">
        <w:rPr>
          <w:i/>
          <w:iCs/>
          <w:color w:val="0E101A"/>
        </w:rPr>
        <w:t>et al</w:t>
      </w:r>
      <w:r w:rsidRPr="00CA4743">
        <w:rPr>
          <w:color w:val="0E101A"/>
        </w:rPr>
        <w:t>., 20</w:t>
      </w:r>
      <w:r>
        <w:rPr>
          <w:color w:val="0E101A"/>
        </w:rPr>
        <w:t>1</w:t>
      </w:r>
      <w:r w:rsidRPr="00CA4743">
        <w:rPr>
          <w:color w:val="0E101A"/>
        </w:rPr>
        <w:t>1</w:t>
      </w:r>
      <w:r>
        <w:rPr>
          <w:color w:val="0E101A"/>
        </w:rPr>
        <w:t>)</w:t>
      </w:r>
      <w:r w:rsidRPr="00CA4743">
        <w:rPr>
          <w:color w:val="0E101A"/>
        </w:rPr>
        <w:t>.</w:t>
      </w:r>
      <w:r>
        <w:rPr>
          <w:color w:val="0E101A"/>
        </w:rPr>
        <w:t xml:space="preserve"> Indeed the </w:t>
      </w:r>
      <w:r w:rsidRPr="00CA4743">
        <w:rPr>
          <w:color w:val="0E101A"/>
        </w:rPr>
        <w:t>threats in food production have lead farmers into over</w:t>
      </w:r>
      <w:r>
        <w:rPr>
          <w:color w:val="0E101A"/>
        </w:rPr>
        <w:t>-</w:t>
      </w:r>
      <w:r w:rsidRPr="00CA4743">
        <w:rPr>
          <w:color w:val="0E101A"/>
        </w:rPr>
        <w:t>cropping, continuous ti</w:t>
      </w:r>
      <w:r>
        <w:rPr>
          <w:color w:val="0E101A"/>
        </w:rPr>
        <w:t>llage</w:t>
      </w:r>
      <w:r w:rsidRPr="00CA4743">
        <w:rPr>
          <w:color w:val="0E101A"/>
        </w:rPr>
        <w:t>,</w:t>
      </w:r>
      <w:r>
        <w:rPr>
          <w:color w:val="0E101A"/>
        </w:rPr>
        <w:t xml:space="preserve"> growing of fast-maturing crop varieties and </w:t>
      </w:r>
      <w:r w:rsidRPr="00CA4743">
        <w:rPr>
          <w:color w:val="0E101A"/>
        </w:rPr>
        <w:t>top dressing (</w:t>
      </w:r>
      <w:r>
        <w:rPr>
          <w:color w:val="0E101A"/>
        </w:rPr>
        <w:t xml:space="preserve">El-Feky </w:t>
      </w:r>
      <w:r w:rsidRPr="00CA4743">
        <w:rPr>
          <w:i/>
          <w:iCs/>
          <w:color w:val="0E101A"/>
        </w:rPr>
        <w:t>et al</w:t>
      </w:r>
      <w:r w:rsidRPr="00CA4743">
        <w:rPr>
          <w:color w:val="0E101A"/>
        </w:rPr>
        <w:t>., 201</w:t>
      </w:r>
      <w:r>
        <w:rPr>
          <w:color w:val="0E101A"/>
        </w:rPr>
        <w:t xml:space="preserve">3; </w:t>
      </w:r>
      <w:r w:rsidRPr="00CA4743">
        <w:rPr>
          <w:color w:val="0E101A"/>
        </w:rPr>
        <w:t>Kole</w:t>
      </w:r>
      <w:r>
        <w:rPr>
          <w:color w:val="0E101A"/>
        </w:rPr>
        <w:t xml:space="preserve"> </w:t>
      </w:r>
      <w:r w:rsidRPr="00CA4743">
        <w:rPr>
          <w:i/>
          <w:iCs/>
          <w:color w:val="0E101A"/>
        </w:rPr>
        <w:t>et al</w:t>
      </w:r>
      <w:r w:rsidRPr="00CA4743">
        <w:rPr>
          <w:color w:val="0E101A"/>
        </w:rPr>
        <w:t xml:space="preserve">., 2013). </w:t>
      </w:r>
      <w:r>
        <w:rPr>
          <w:color w:val="0E101A"/>
        </w:rPr>
        <w:t xml:space="preserve">Mostly, </w:t>
      </w:r>
      <w:r w:rsidRPr="00CA4743">
        <w:rPr>
          <w:color w:val="0E101A"/>
        </w:rPr>
        <w:t xml:space="preserve">these practices deplete soil nutrients </w:t>
      </w:r>
      <w:r>
        <w:rPr>
          <w:color w:val="0E101A"/>
        </w:rPr>
        <w:t xml:space="preserve">hence </w:t>
      </w:r>
      <w:r w:rsidRPr="00CA4743">
        <w:rPr>
          <w:color w:val="0E101A"/>
        </w:rPr>
        <w:t>calling for the excessive application of commercial fertilizers (</w:t>
      </w:r>
      <w:r>
        <w:rPr>
          <w:color w:val="0E101A"/>
        </w:rPr>
        <w:t xml:space="preserve">Srivastava </w:t>
      </w:r>
      <w:r w:rsidRPr="00CA4743">
        <w:rPr>
          <w:i/>
          <w:iCs/>
          <w:color w:val="0E101A"/>
        </w:rPr>
        <w:t>et al</w:t>
      </w:r>
      <w:r w:rsidRPr="00CA4743">
        <w:rPr>
          <w:color w:val="0E101A"/>
        </w:rPr>
        <w:t xml:space="preserve">., 2014; </w:t>
      </w:r>
      <w:r>
        <w:rPr>
          <w:color w:val="0E101A"/>
        </w:rPr>
        <w:t xml:space="preserve">Prasad </w:t>
      </w:r>
      <w:r w:rsidRPr="00CA4743">
        <w:rPr>
          <w:i/>
          <w:iCs/>
          <w:color w:val="0E101A"/>
        </w:rPr>
        <w:t>et al</w:t>
      </w:r>
      <w:r w:rsidRPr="00CA4743">
        <w:rPr>
          <w:color w:val="0E101A"/>
        </w:rPr>
        <w:t>., 2012).</w:t>
      </w:r>
      <w:r>
        <w:rPr>
          <w:color w:val="0E101A"/>
        </w:rPr>
        <w:t xml:space="preserve"> The </w:t>
      </w:r>
      <w:r w:rsidRPr="00CA4743">
        <w:rPr>
          <w:color w:val="0E101A"/>
        </w:rPr>
        <w:t>fore mentioned practices</w:t>
      </w:r>
      <w:r>
        <w:rPr>
          <w:color w:val="0E101A"/>
        </w:rPr>
        <w:t xml:space="preserve"> are experienced in the</w:t>
      </w:r>
      <w:r w:rsidRPr="00CA4743">
        <w:rPr>
          <w:color w:val="0E101A"/>
        </w:rPr>
        <w:t xml:space="preserve"> study</w:t>
      </w:r>
      <w:r>
        <w:rPr>
          <w:color w:val="0E101A"/>
        </w:rPr>
        <w:t xml:space="preserve"> area, </w:t>
      </w:r>
      <w:r w:rsidRPr="00CA4743">
        <w:rPr>
          <w:color w:val="0E101A"/>
        </w:rPr>
        <w:t>Kisii County, Kenya</w:t>
      </w:r>
      <w:r>
        <w:rPr>
          <w:color w:val="0E101A"/>
        </w:rPr>
        <w:t>.</w:t>
      </w:r>
    </w:p>
    <w:p w:rsidR="00F934C1" w:rsidRDefault="00F934C1" w:rsidP="00F934C1">
      <w:pPr>
        <w:pStyle w:val="NormalWeb"/>
        <w:spacing w:before="0" w:beforeAutospacing="0" w:after="0" w:afterAutospacing="0" w:line="480" w:lineRule="auto"/>
        <w:rPr>
          <w:color w:val="0E101A"/>
        </w:rPr>
      </w:pPr>
    </w:p>
    <w:p w:rsidR="00F934C1" w:rsidRPr="00CA4743" w:rsidRDefault="00F934C1" w:rsidP="00F934C1">
      <w:pPr>
        <w:rPr>
          <w:color w:val="0E101A"/>
        </w:rPr>
      </w:pPr>
      <w:r w:rsidRPr="00CA4743">
        <w:rPr>
          <w:color w:val="0E101A"/>
        </w:rPr>
        <w:t>The over</w:t>
      </w:r>
      <w:r>
        <w:rPr>
          <w:color w:val="0E101A"/>
        </w:rPr>
        <w:t>-</w:t>
      </w:r>
      <w:r w:rsidRPr="00CA4743">
        <w:rPr>
          <w:color w:val="0E101A"/>
        </w:rPr>
        <w:t>application of commercial fertilizer</w:t>
      </w:r>
      <w:r>
        <w:rPr>
          <w:color w:val="0E101A"/>
        </w:rPr>
        <w:t xml:space="preserve"> (DAP, NPK)</w:t>
      </w:r>
      <w:r w:rsidRPr="00CA4743">
        <w:rPr>
          <w:color w:val="0E101A"/>
        </w:rPr>
        <w:t xml:space="preserve"> on crops faces the challenge of nutrient leaching</w:t>
      </w:r>
      <w:r>
        <w:rPr>
          <w:color w:val="0E101A"/>
        </w:rPr>
        <w:t xml:space="preserve"> which</w:t>
      </w:r>
      <w:r w:rsidRPr="00CA4743">
        <w:rPr>
          <w:color w:val="0E101A"/>
        </w:rPr>
        <w:t xml:space="preserve"> make</w:t>
      </w:r>
      <w:r>
        <w:rPr>
          <w:color w:val="0E101A"/>
        </w:rPr>
        <w:t>s</w:t>
      </w:r>
      <w:r w:rsidRPr="00CA4743">
        <w:rPr>
          <w:color w:val="0E101A"/>
        </w:rPr>
        <w:t xml:space="preserve"> nutrients </w:t>
      </w:r>
      <w:r>
        <w:rPr>
          <w:color w:val="0E101A"/>
        </w:rPr>
        <w:t xml:space="preserve">not only </w:t>
      </w:r>
      <w:r w:rsidRPr="00CA4743">
        <w:rPr>
          <w:color w:val="0E101A"/>
        </w:rPr>
        <w:t>unavailable</w:t>
      </w:r>
      <w:r>
        <w:rPr>
          <w:color w:val="0E101A"/>
        </w:rPr>
        <w:t xml:space="preserve"> but also limits their</w:t>
      </w:r>
      <w:r w:rsidRPr="00CA4743">
        <w:rPr>
          <w:color w:val="0E101A"/>
        </w:rPr>
        <w:t xml:space="preserve"> interaction to the plant</w:t>
      </w:r>
      <w:r>
        <w:rPr>
          <w:color w:val="0E101A"/>
        </w:rPr>
        <w:t>, hence lowering</w:t>
      </w:r>
      <w:r w:rsidRPr="00CA4743">
        <w:rPr>
          <w:color w:val="0E101A"/>
        </w:rPr>
        <w:t xml:space="preserve"> crop yields (</w:t>
      </w:r>
      <w:r>
        <w:rPr>
          <w:color w:val="0E101A"/>
        </w:rPr>
        <w:t xml:space="preserve">Das </w:t>
      </w:r>
      <w:r w:rsidRPr="00CA4743">
        <w:rPr>
          <w:i/>
          <w:iCs/>
          <w:color w:val="0E101A"/>
        </w:rPr>
        <w:t>et al</w:t>
      </w:r>
      <w:r>
        <w:rPr>
          <w:color w:val="0E101A"/>
        </w:rPr>
        <w:t xml:space="preserve">., 2016). The over-application </w:t>
      </w:r>
      <w:r w:rsidRPr="00CA4743">
        <w:rPr>
          <w:color w:val="0E101A"/>
        </w:rPr>
        <w:t xml:space="preserve">of commercial fertilizers </w:t>
      </w:r>
      <w:r>
        <w:rPr>
          <w:color w:val="0E101A"/>
        </w:rPr>
        <w:t xml:space="preserve">also </w:t>
      </w:r>
      <w:r w:rsidRPr="00CA4743">
        <w:rPr>
          <w:color w:val="0E101A"/>
        </w:rPr>
        <w:t>alters soil physico</w:t>
      </w:r>
      <w:r>
        <w:rPr>
          <w:color w:val="0E101A"/>
        </w:rPr>
        <w:t>-</w:t>
      </w:r>
      <w:r w:rsidRPr="00CA4743">
        <w:rPr>
          <w:color w:val="0E101A"/>
        </w:rPr>
        <w:t xml:space="preserve">chemical </w:t>
      </w:r>
      <w:r w:rsidRPr="00CA4743">
        <w:rPr>
          <w:color w:val="0E101A"/>
        </w:rPr>
        <w:lastRenderedPageBreak/>
        <w:t xml:space="preserve">properties </w:t>
      </w:r>
      <w:r>
        <w:rPr>
          <w:color w:val="0E101A"/>
        </w:rPr>
        <w:t>like</w:t>
      </w:r>
      <w:r w:rsidRPr="00CA4743">
        <w:rPr>
          <w:color w:val="0E101A"/>
        </w:rPr>
        <w:t xml:space="preserve"> electrical conductivity (EC)</w:t>
      </w:r>
      <w:r>
        <w:rPr>
          <w:color w:val="0E101A"/>
        </w:rPr>
        <w:t xml:space="preserve">; </w:t>
      </w:r>
      <w:r w:rsidRPr="00CA4743">
        <w:rPr>
          <w:color w:val="0E101A"/>
        </w:rPr>
        <w:t xml:space="preserve">soil pH, </w:t>
      </w:r>
      <w:r>
        <w:rPr>
          <w:color w:val="0E101A"/>
        </w:rPr>
        <w:t xml:space="preserve">and </w:t>
      </w:r>
      <w:r w:rsidRPr="00CA4743">
        <w:rPr>
          <w:color w:val="0E101A"/>
        </w:rPr>
        <w:t>% organic matter (</w:t>
      </w:r>
      <w:r>
        <w:rPr>
          <w:color w:val="0E101A"/>
        </w:rPr>
        <w:t xml:space="preserve">% </w:t>
      </w:r>
      <w:r w:rsidRPr="00CA4743">
        <w:rPr>
          <w:color w:val="0E101A"/>
        </w:rPr>
        <w:t>OM), (</w:t>
      </w:r>
      <w:r>
        <w:rPr>
          <w:color w:val="0E101A"/>
        </w:rPr>
        <w:t xml:space="preserve">Srivastava </w:t>
      </w:r>
      <w:r w:rsidRPr="00CA4743">
        <w:rPr>
          <w:i/>
          <w:iCs/>
          <w:color w:val="0E101A"/>
        </w:rPr>
        <w:t>et</w:t>
      </w:r>
      <w:r>
        <w:rPr>
          <w:i/>
          <w:iCs/>
          <w:color w:val="0E101A"/>
        </w:rPr>
        <w:t xml:space="preserve"> </w:t>
      </w:r>
      <w:r w:rsidRPr="00CA4743">
        <w:rPr>
          <w:i/>
          <w:iCs/>
          <w:color w:val="0E101A"/>
        </w:rPr>
        <w:t>al</w:t>
      </w:r>
      <w:r w:rsidRPr="00CA4743">
        <w:rPr>
          <w:color w:val="0E101A"/>
        </w:rPr>
        <w:t>., 2014; DeRosa</w:t>
      </w:r>
      <w:r>
        <w:rPr>
          <w:color w:val="0E101A"/>
        </w:rPr>
        <w:t xml:space="preserve"> </w:t>
      </w:r>
      <w:r w:rsidRPr="00CA4743">
        <w:rPr>
          <w:i/>
          <w:iCs/>
          <w:color w:val="0E101A"/>
        </w:rPr>
        <w:t>et al</w:t>
      </w:r>
      <w:r w:rsidRPr="00CA4743">
        <w:rPr>
          <w:color w:val="0E101A"/>
        </w:rPr>
        <w:t>., 2010</w:t>
      </w:r>
      <w:r>
        <w:rPr>
          <w:color w:val="0E101A"/>
        </w:rPr>
        <w:t xml:space="preserve">). Low soil pH </w:t>
      </w:r>
      <w:r w:rsidRPr="00CA4743">
        <w:rPr>
          <w:color w:val="0E101A"/>
        </w:rPr>
        <w:t xml:space="preserve">for example increases the mobility of nutrients hence leaching them to lower soil levels that would not be available for </w:t>
      </w:r>
      <w:r>
        <w:rPr>
          <w:color w:val="0E101A"/>
        </w:rPr>
        <w:t xml:space="preserve">plant uptake (Zhou </w:t>
      </w:r>
      <w:r>
        <w:rPr>
          <w:rStyle w:val="Emphasis"/>
          <w:rFonts w:eastAsiaTheme="majorEastAsia"/>
          <w:color w:val="0E101A"/>
        </w:rPr>
        <w:t>et al</w:t>
      </w:r>
      <w:r>
        <w:rPr>
          <w:color w:val="0E101A"/>
        </w:rPr>
        <w:t xml:space="preserve">., 2019; Song </w:t>
      </w:r>
      <w:r>
        <w:rPr>
          <w:rStyle w:val="Emphasis"/>
          <w:rFonts w:eastAsiaTheme="majorEastAsia"/>
          <w:color w:val="0E101A"/>
        </w:rPr>
        <w:t>et al</w:t>
      </w:r>
      <w:r>
        <w:rPr>
          <w:color w:val="0E101A"/>
        </w:rPr>
        <w:t xml:space="preserve">., 2013). </w:t>
      </w:r>
      <w:r w:rsidRPr="00CA4743">
        <w:rPr>
          <w:color w:val="0E101A"/>
        </w:rPr>
        <w:t xml:space="preserve">As a result there is increased uptake of </w:t>
      </w:r>
      <w:r>
        <w:rPr>
          <w:color w:val="0E101A"/>
        </w:rPr>
        <w:t>cadmium (</w:t>
      </w:r>
      <w:r w:rsidRPr="00CA4743">
        <w:rPr>
          <w:color w:val="0E101A"/>
        </w:rPr>
        <w:t>Cd</w:t>
      </w:r>
      <w:r>
        <w:rPr>
          <w:color w:val="0E101A"/>
        </w:rPr>
        <w:t>) and lead (</w:t>
      </w:r>
      <w:r w:rsidRPr="00CA4743">
        <w:rPr>
          <w:color w:val="0E101A"/>
        </w:rPr>
        <w:t>Pb</w:t>
      </w:r>
      <w:r>
        <w:rPr>
          <w:color w:val="0E101A"/>
        </w:rPr>
        <w:t xml:space="preserve">) which are among most </w:t>
      </w:r>
      <w:r w:rsidRPr="00CA4743">
        <w:rPr>
          <w:color w:val="0E101A"/>
        </w:rPr>
        <w:t xml:space="preserve">toxic heavy metals </w:t>
      </w:r>
      <w:r w:rsidRPr="00BB4B6E">
        <w:rPr>
          <w:color w:val="0E101A"/>
        </w:rPr>
        <w:t xml:space="preserve">(Buyukkilic </w:t>
      </w:r>
      <w:r w:rsidRPr="00BB4B6E">
        <w:rPr>
          <w:i/>
          <w:iCs/>
          <w:color w:val="0E101A"/>
        </w:rPr>
        <w:t>et al</w:t>
      </w:r>
      <w:r w:rsidRPr="00BB4B6E">
        <w:rPr>
          <w:color w:val="0E101A"/>
        </w:rPr>
        <w:t xml:space="preserve">., 2022; Guangmei </w:t>
      </w:r>
      <w:r w:rsidRPr="00BB4B6E">
        <w:rPr>
          <w:i/>
          <w:iCs/>
          <w:color w:val="0E101A"/>
        </w:rPr>
        <w:t>et al</w:t>
      </w:r>
      <w:r w:rsidRPr="00BB4B6E">
        <w:rPr>
          <w:color w:val="0E101A"/>
        </w:rPr>
        <w:t>., 2021)</w:t>
      </w:r>
      <w:r>
        <w:rPr>
          <w:color w:val="0E101A"/>
        </w:rPr>
        <w:t xml:space="preserve">. Heavy metals on one hand </w:t>
      </w:r>
      <w:r w:rsidRPr="00CA4743">
        <w:rPr>
          <w:color w:val="0E101A"/>
        </w:rPr>
        <w:t>threaten food safety</w:t>
      </w:r>
      <w:r>
        <w:rPr>
          <w:color w:val="0E101A"/>
        </w:rPr>
        <w:t xml:space="preserve"> while on the other, their exposure</w:t>
      </w:r>
      <w:r w:rsidRPr="00CA4743">
        <w:rPr>
          <w:color w:val="0E101A"/>
        </w:rPr>
        <w:t xml:space="preserve"> to human</w:t>
      </w:r>
      <w:r>
        <w:rPr>
          <w:color w:val="0E101A"/>
        </w:rPr>
        <w:t xml:space="preserve"> being</w:t>
      </w:r>
      <w:r w:rsidRPr="00CA4743">
        <w:rPr>
          <w:color w:val="0E101A"/>
        </w:rPr>
        <w:t>s damages the function</w:t>
      </w:r>
      <w:r>
        <w:rPr>
          <w:color w:val="0E101A"/>
        </w:rPr>
        <w:t>ing</w:t>
      </w:r>
      <w:r w:rsidRPr="00CA4743">
        <w:rPr>
          <w:color w:val="0E101A"/>
        </w:rPr>
        <w:t xml:space="preserve"> of the central nervous system, lungs, kidneys, liver, and may cause cancer (Rezvani</w:t>
      </w:r>
      <w:r>
        <w:rPr>
          <w:color w:val="0E101A"/>
        </w:rPr>
        <w:t xml:space="preserve"> </w:t>
      </w:r>
      <w:r w:rsidRPr="00CA4743">
        <w:rPr>
          <w:i/>
          <w:iCs/>
          <w:color w:val="0E101A"/>
        </w:rPr>
        <w:t>et al</w:t>
      </w:r>
      <w:r w:rsidRPr="00CA4743">
        <w:rPr>
          <w:color w:val="0E101A"/>
        </w:rPr>
        <w:t>., 2012).</w:t>
      </w:r>
    </w:p>
    <w:p w:rsidR="00F934C1" w:rsidRPr="00CA4743" w:rsidRDefault="00F934C1" w:rsidP="00F934C1">
      <w:pPr>
        <w:rPr>
          <w:color w:val="0E101A"/>
        </w:rPr>
      </w:pPr>
    </w:p>
    <w:p w:rsidR="00F934C1" w:rsidRDefault="00F934C1" w:rsidP="00F934C1">
      <w:pPr>
        <w:rPr>
          <w:color w:val="0E101A"/>
          <w:highlight w:val="yellow"/>
        </w:rPr>
      </w:pPr>
      <w:r w:rsidRPr="00CA4743">
        <w:rPr>
          <w:color w:val="0E101A"/>
        </w:rPr>
        <w:t xml:space="preserve">The synthesis </w:t>
      </w:r>
      <w:r>
        <w:rPr>
          <w:color w:val="0E101A"/>
        </w:rPr>
        <w:t xml:space="preserve">and use </w:t>
      </w:r>
      <w:r w:rsidRPr="00CA4743">
        <w:rPr>
          <w:color w:val="0E101A"/>
        </w:rPr>
        <w:t xml:space="preserve">of nanoparticle materials in </w:t>
      </w:r>
      <w:r>
        <w:rPr>
          <w:color w:val="0E101A"/>
        </w:rPr>
        <w:t xml:space="preserve">the </w:t>
      </w:r>
      <w:r w:rsidRPr="00CA4743">
        <w:rPr>
          <w:color w:val="0E101A"/>
        </w:rPr>
        <w:t>agricultur</w:t>
      </w:r>
      <w:r>
        <w:rPr>
          <w:color w:val="0E101A"/>
        </w:rPr>
        <w:t>al sector</w:t>
      </w:r>
      <w:r w:rsidRPr="00CA4743">
        <w:rPr>
          <w:color w:val="0E101A"/>
        </w:rPr>
        <w:t xml:space="preserve"> has </w:t>
      </w:r>
      <w:r>
        <w:rPr>
          <w:color w:val="0E101A"/>
        </w:rPr>
        <w:t>partially contributed to increasing</w:t>
      </w:r>
      <w:r w:rsidRPr="00CA4743">
        <w:rPr>
          <w:color w:val="0E101A"/>
        </w:rPr>
        <w:t xml:space="preserve"> food production</w:t>
      </w:r>
      <w:r>
        <w:rPr>
          <w:color w:val="0E101A"/>
        </w:rPr>
        <w:t xml:space="preserve"> as a solution to the prevailing challenges earlier mentioned</w:t>
      </w:r>
      <w:r w:rsidRPr="00CA4743">
        <w:rPr>
          <w:color w:val="0E101A"/>
        </w:rPr>
        <w:t xml:space="preserve"> (Tarafdar</w:t>
      </w:r>
      <w:r>
        <w:rPr>
          <w:color w:val="0E101A"/>
        </w:rPr>
        <w:t xml:space="preserve"> </w:t>
      </w:r>
      <w:r w:rsidRPr="00CA4743">
        <w:rPr>
          <w:i/>
          <w:iCs/>
          <w:color w:val="0E101A"/>
        </w:rPr>
        <w:t>et al</w:t>
      </w:r>
      <w:r w:rsidRPr="00CA4743">
        <w:rPr>
          <w:color w:val="0E101A"/>
        </w:rPr>
        <w:t>., 2014; Song</w:t>
      </w:r>
      <w:r>
        <w:rPr>
          <w:color w:val="0E101A"/>
        </w:rPr>
        <w:t xml:space="preserve"> </w:t>
      </w:r>
      <w:r w:rsidRPr="00CA4743">
        <w:rPr>
          <w:i/>
          <w:iCs/>
          <w:color w:val="0E101A"/>
        </w:rPr>
        <w:t>et al</w:t>
      </w:r>
      <w:r w:rsidRPr="00CA4743">
        <w:rPr>
          <w:color w:val="0E101A"/>
        </w:rPr>
        <w:t xml:space="preserve">., 2013). Nanotechnology </w:t>
      </w:r>
      <w:r>
        <w:rPr>
          <w:color w:val="0E101A"/>
        </w:rPr>
        <w:t>consist</w:t>
      </w:r>
      <w:r w:rsidRPr="00CA4743">
        <w:rPr>
          <w:color w:val="0E101A"/>
        </w:rPr>
        <w:t xml:space="preserve"> design</w:t>
      </w:r>
      <w:r>
        <w:rPr>
          <w:color w:val="0E101A"/>
        </w:rPr>
        <w:t>ing, producing, characterizing, and application</w:t>
      </w:r>
      <w:r w:rsidRPr="00CA4743">
        <w:rPr>
          <w:color w:val="0E101A"/>
        </w:rPr>
        <w:t xml:space="preserve"> of </w:t>
      </w:r>
      <w:r>
        <w:rPr>
          <w:color w:val="0E101A"/>
        </w:rPr>
        <w:t>particles</w:t>
      </w:r>
      <w:r w:rsidRPr="00CA4743">
        <w:rPr>
          <w:color w:val="0E101A"/>
        </w:rPr>
        <w:t xml:space="preserve"> by regulating the</w:t>
      </w:r>
      <w:r>
        <w:rPr>
          <w:color w:val="0E101A"/>
        </w:rPr>
        <w:t>ir</w:t>
      </w:r>
      <w:r w:rsidRPr="00CA4743">
        <w:rPr>
          <w:color w:val="0E101A"/>
        </w:rPr>
        <w:t xml:space="preserve"> shape and s</w:t>
      </w:r>
      <w:r>
        <w:rPr>
          <w:color w:val="0E101A"/>
        </w:rPr>
        <w:t>ize to</w:t>
      </w:r>
      <w:r w:rsidRPr="00CA4743">
        <w:rPr>
          <w:color w:val="0E101A"/>
        </w:rPr>
        <w:t xml:space="preserve"> nanometer scale (Helaly</w:t>
      </w:r>
      <w:r>
        <w:rPr>
          <w:color w:val="0E101A"/>
        </w:rPr>
        <w:t xml:space="preserve"> </w:t>
      </w:r>
      <w:r w:rsidRPr="00CA4743">
        <w:rPr>
          <w:i/>
          <w:iCs/>
          <w:color w:val="0E101A"/>
        </w:rPr>
        <w:t>et al</w:t>
      </w:r>
      <w:r w:rsidRPr="00CA4743">
        <w:rPr>
          <w:color w:val="0E101A"/>
        </w:rPr>
        <w:t xml:space="preserve">., 2014; </w:t>
      </w:r>
      <w:r>
        <w:rPr>
          <w:color w:val="0E101A"/>
        </w:rPr>
        <w:t xml:space="preserve">Kole </w:t>
      </w:r>
      <w:r w:rsidRPr="00826DD0">
        <w:rPr>
          <w:i/>
          <w:color w:val="0E101A"/>
        </w:rPr>
        <w:t>et al</w:t>
      </w:r>
      <w:r>
        <w:rPr>
          <w:color w:val="0E101A"/>
        </w:rPr>
        <w:t>., 2013</w:t>
      </w:r>
      <w:r w:rsidRPr="00CA4743">
        <w:rPr>
          <w:color w:val="0E101A"/>
        </w:rPr>
        <w:t xml:space="preserve">). </w:t>
      </w:r>
      <w:r>
        <w:rPr>
          <w:color w:val="0E101A"/>
        </w:rPr>
        <w:t>N</w:t>
      </w:r>
      <w:r w:rsidRPr="00CA4743">
        <w:rPr>
          <w:color w:val="0E101A"/>
        </w:rPr>
        <w:t>umerous adsorption sites and selective ad</w:t>
      </w:r>
      <w:r>
        <w:rPr>
          <w:color w:val="0E101A"/>
        </w:rPr>
        <w:t>sorption towards some metal ion is a unique feature of nanoparticles that make it attractive</w:t>
      </w:r>
      <w:r w:rsidRPr="00CA4743">
        <w:rPr>
          <w:color w:val="0E101A"/>
        </w:rPr>
        <w:t xml:space="preserve">. </w:t>
      </w:r>
      <w:r>
        <w:rPr>
          <w:color w:val="0E101A"/>
        </w:rPr>
        <w:t>Hence they are essential in</w:t>
      </w:r>
      <w:r w:rsidRPr="00CA4743">
        <w:rPr>
          <w:color w:val="0E101A"/>
        </w:rPr>
        <w:t xml:space="preserve"> the development of slow and </w:t>
      </w:r>
      <w:r>
        <w:rPr>
          <w:color w:val="0E101A"/>
        </w:rPr>
        <w:t>sustainable</w:t>
      </w:r>
      <w:r w:rsidRPr="00CA4743">
        <w:rPr>
          <w:color w:val="0E101A"/>
        </w:rPr>
        <w:t xml:space="preserve"> release of nutrient</w:t>
      </w:r>
      <w:r>
        <w:rPr>
          <w:color w:val="0E101A"/>
        </w:rPr>
        <w:t xml:space="preserve">s, </w:t>
      </w:r>
      <w:r w:rsidRPr="00CA4743">
        <w:rPr>
          <w:color w:val="0E101A"/>
        </w:rPr>
        <w:t>pesticides and herbicides</w:t>
      </w:r>
      <w:r>
        <w:rPr>
          <w:color w:val="0E101A"/>
        </w:rPr>
        <w:t>. As such</w:t>
      </w:r>
      <w:r w:rsidRPr="00CA4743">
        <w:rPr>
          <w:color w:val="0E101A"/>
        </w:rPr>
        <w:t xml:space="preserve">, nanotechnology </w:t>
      </w:r>
      <w:r>
        <w:rPr>
          <w:color w:val="0E101A"/>
        </w:rPr>
        <w:t>techniques are essential</w:t>
      </w:r>
      <w:r w:rsidRPr="00CA4743">
        <w:rPr>
          <w:color w:val="0E101A"/>
        </w:rPr>
        <w:t xml:space="preserve"> in promoting the </w:t>
      </w:r>
      <w:r>
        <w:rPr>
          <w:color w:val="0E101A"/>
        </w:rPr>
        <w:t>use</w:t>
      </w:r>
      <w:r w:rsidRPr="00CA4743">
        <w:rPr>
          <w:color w:val="0E101A"/>
        </w:rPr>
        <w:t xml:space="preserve"> of environmentally friendly and sustainable agricultural </w:t>
      </w:r>
      <w:r>
        <w:rPr>
          <w:color w:val="0E101A"/>
        </w:rPr>
        <w:t>inputs</w:t>
      </w:r>
      <w:r w:rsidRPr="00CA4743">
        <w:rPr>
          <w:color w:val="0E101A"/>
        </w:rPr>
        <w:t xml:space="preserve"> (Raliya</w:t>
      </w:r>
      <w:r>
        <w:rPr>
          <w:color w:val="0E101A"/>
        </w:rPr>
        <w:t xml:space="preserve"> </w:t>
      </w:r>
      <w:r w:rsidRPr="00CA4743">
        <w:rPr>
          <w:i/>
          <w:iCs/>
          <w:color w:val="0E101A"/>
        </w:rPr>
        <w:t>et al</w:t>
      </w:r>
      <w:r w:rsidRPr="00CA4743">
        <w:rPr>
          <w:color w:val="0E101A"/>
        </w:rPr>
        <w:t xml:space="preserve">., 2015; </w:t>
      </w:r>
      <w:r>
        <w:rPr>
          <w:color w:val="0E101A"/>
        </w:rPr>
        <w:t xml:space="preserve">Prasad </w:t>
      </w:r>
      <w:r w:rsidRPr="00CA4743">
        <w:rPr>
          <w:i/>
          <w:iCs/>
          <w:color w:val="0E101A"/>
        </w:rPr>
        <w:t>et al</w:t>
      </w:r>
      <w:r w:rsidRPr="00CA4743">
        <w:rPr>
          <w:color w:val="0E101A"/>
        </w:rPr>
        <w:t>., 2012).</w:t>
      </w:r>
      <w:r>
        <w:rPr>
          <w:color w:val="0E101A"/>
        </w:rPr>
        <w:t xml:space="preserve"> Nanohydroxyapatites (nHA) is an example to such nanoparticle</w:t>
      </w:r>
      <w:r w:rsidRPr="00CA4743">
        <w:rPr>
          <w:color w:val="0E101A"/>
        </w:rPr>
        <w:t>s</w:t>
      </w:r>
      <w:r>
        <w:rPr>
          <w:color w:val="0E101A"/>
        </w:rPr>
        <w:t xml:space="preserve"> which are synthesized from hydroxyapatites [Ca</w:t>
      </w:r>
      <w:r w:rsidRPr="00B4747D">
        <w:rPr>
          <w:color w:val="0E101A"/>
          <w:vertAlign w:val="subscript"/>
        </w:rPr>
        <w:t>10</w:t>
      </w:r>
      <w:r>
        <w:rPr>
          <w:color w:val="0E101A"/>
        </w:rPr>
        <w:t>(PO</w:t>
      </w:r>
      <w:r w:rsidRPr="00B4747D">
        <w:rPr>
          <w:color w:val="0E101A"/>
          <w:vertAlign w:val="subscript"/>
        </w:rPr>
        <w:t>4</w:t>
      </w:r>
      <w:r>
        <w:rPr>
          <w:color w:val="0E101A"/>
        </w:rPr>
        <w:t>)</w:t>
      </w:r>
      <w:r w:rsidRPr="00B4747D">
        <w:rPr>
          <w:color w:val="0E101A"/>
          <w:vertAlign w:val="subscript"/>
        </w:rPr>
        <w:t>6</w:t>
      </w:r>
      <w:r>
        <w:rPr>
          <w:color w:val="0E101A"/>
        </w:rPr>
        <w:t>(Z)</w:t>
      </w:r>
      <w:r w:rsidRPr="00B4747D">
        <w:rPr>
          <w:color w:val="0E101A"/>
          <w:vertAlign w:val="subscript"/>
        </w:rPr>
        <w:t>2</w:t>
      </w:r>
      <w:r>
        <w:rPr>
          <w:color w:val="0E101A"/>
        </w:rPr>
        <w:t xml:space="preserve">, Z = F, Cl, OH]. They are non-toxic and have higher selective adsorption to heavy metals, that’s why they were used in Nyakoe greenhouse study </w:t>
      </w:r>
      <w:r w:rsidRPr="00CA4743">
        <w:rPr>
          <w:color w:val="0E101A"/>
        </w:rPr>
        <w:t>(</w:t>
      </w:r>
      <w:r>
        <w:rPr>
          <w:color w:val="0E101A"/>
        </w:rPr>
        <w:t xml:space="preserve">Suchanek </w:t>
      </w:r>
      <w:r>
        <w:rPr>
          <w:rStyle w:val="Emphasis"/>
          <w:rFonts w:eastAsiaTheme="majorEastAsia"/>
          <w:color w:val="0E101A"/>
        </w:rPr>
        <w:t>et al</w:t>
      </w:r>
      <w:r>
        <w:rPr>
          <w:color w:val="0E101A"/>
        </w:rPr>
        <w:t>., 2019</w:t>
      </w:r>
      <w:r w:rsidRPr="00CB48F8">
        <w:rPr>
          <w:color w:val="0E101A"/>
        </w:rPr>
        <w:t>).</w:t>
      </w:r>
    </w:p>
    <w:p w:rsidR="00F934C1" w:rsidRDefault="00F934C1" w:rsidP="00F934C1">
      <w:pPr>
        <w:rPr>
          <w:color w:val="0E101A"/>
          <w:highlight w:val="yellow"/>
        </w:rPr>
      </w:pPr>
    </w:p>
    <w:p w:rsidR="00F934C1" w:rsidRDefault="00F934C1" w:rsidP="00F934C1">
      <w:pPr>
        <w:rPr>
          <w:color w:val="0E101A"/>
        </w:rPr>
      </w:pPr>
      <w:r w:rsidRPr="00CB48F8">
        <w:rPr>
          <w:color w:val="0E101A"/>
        </w:rPr>
        <w:lastRenderedPageBreak/>
        <w:t>A</w:t>
      </w:r>
      <w:r w:rsidRPr="00CA4743">
        <w:rPr>
          <w:color w:val="0E101A"/>
        </w:rPr>
        <w:t xml:space="preserve">ccording to </w:t>
      </w:r>
      <w:r>
        <w:rPr>
          <w:color w:val="0E101A"/>
        </w:rPr>
        <w:t xml:space="preserve">Nilwala </w:t>
      </w:r>
      <w:r>
        <w:rPr>
          <w:i/>
          <w:iCs/>
          <w:color w:val="0E101A"/>
        </w:rPr>
        <w:t xml:space="preserve">et </w:t>
      </w:r>
      <w:r w:rsidRPr="00CA4743">
        <w:rPr>
          <w:i/>
          <w:iCs/>
          <w:color w:val="0E101A"/>
        </w:rPr>
        <w:t>al</w:t>
      </w:r>
      <w:r>
        <w:rPr>
          <w:color w:val="0E101A"/>
        </w:rPr>
        <w:t>. (2011</w:t>
      </w:r>
      <w:r w:rsidRPr="00CA4743">
        <w:rPr>
          <w:color w:val="0E101A"/>
        </w:rPr>
        <w:t xml:space="preserve">), </w:t>
      </w:r>
      <w:r w:rsidRPr="00BB4B6E">
        <w:rPr>
          <w:color w:val="0E101A"/>
        </w:rPr>
        <w:t xml:space="preserve">hydroxyapatite is </w:t>
      </w:r>
      <w:r>
        <w:rPr>
          <w:color w:val="0E101A"/>
        </w:rPr>
        <w:t>inorganic phosphate rock</w:t>
      </w:r>
      <w:r w:rsidRPr="00BB4B6E">
        <w:rPr>
          <w:color w:val="0E101A"/>
        </w:rPr>
        <w:t xml:space="preserve"> and</w:t>
      </w:r>
      <w:r>
        <w:rPr>
          <w:color w:val="0E101A"/>
        </w:rPr>
        <w:t xml:space="preserve"> is</w:t>
      </w:r>
      <w:r w:rsidRPr="00CA4743">
        <w:rPr>
          <w:color w:val="0E101A"/>
        </w:rPr>
        <w:t xml:space="preserve"> a vital source of</w:t>
      </w:r>
      <w:r>
        <w:rPr>
          <w:color w:val="0E101A"/>
        </w:rPr>
        <w:t xml:space="preserve"> phosphorus (P) in fertilizer.</w:t>
      </w:r>
      <w:r w:rsidRPr="00CA4743">
        <w:rPr>
          <w:color w:val="0E101A"/>
        </w:rPr>
        <w:t xml:space="preserve"> The synthesis of synthetic nanohydroxyapatite is challenging since </w:t>
      </w:r>
      <w:r>
        <w:rPr>
          <w:color w:val="0E101A"/>
        </w:rPr>
        <w:t xml:space="preserve">phosphoric acid and calcium hydroxide used in synthesis </w:t>
      </w:r>
      <w:r w:rsidRPr="00CA4743">
        <w:rPr>
          <w:color w:val="0E101A"/>
        </w:rPr>
        <w:t>are expensive</w:t>
      </w:r>
      <w:r>
        <w:rPr>
          <w:color w:val="0E101A"/>
        </w:rPr>
        <w:t>. This study envisaged that the use of bones nHA would offer a preferred cheaper option</w:t>
      </w:r>
      <w:r w:rsidRPr="00CA4743">
        <w:rPr>
          <w:color w:val="0E101A"/>
        </w:rPr>
        <w:t>. The</w:t>
      </w:r>
      <w:r>
        <w:rPr>
          <w:color w:val="0E101A"/>
        </w:rPr>
        <w:t>re are</w:t>
      </w:r>
      <w:r w:rsidRPr="00CA4743">
        <w:rPr>
          <w:color w:val="0E101A"/>
        </w:rPr>
        <w:t xml:space="preserve"> millions of tones of bones </w:t>
      </w:r>
      <w:r>
        <w:rPr>
          <w:color w:val="0E101A"/>
        </w:rPr>
        <w:t>in</w:t>
      </w:r>
      <w:r w:rsidRPr="00CA4743">
        <w:rPr>
          <w:color w:val="0E101A"/>
        </w:rPr>
        <w:t xml:space="preserve"> dumping sites </w:t>
      </w:r>
      <w:r>
        <w:rPr>
          <w:color w:val="0E101A"/>
        </w:rPr>
        <w:t xml:space="preserve">which pose an environmental pollution menace due to their long period to biodegrade (Suchanek </w:t>
      </w:r>
      <w:r>
        <w:rPr>
          <w:rStyle w:val="Emphasis"/>
          <w:rFonts w:eastAsiaTheme="majorEastAsia"/>
          <w:color w:val="0E101A"/>
        </w:rPr>
        <w:t>et al</w:t>
      </w:r>
      <w:r>
        <w:rPr>
          <w:color w:val="0E101A"/>
        </w:rPr>
        <w:t>., 2019). It was envisaged that the b</w:t>
      </w:r>
      <w:r w:rsidRPr="00CA4743">
        <w:rPr>
          <w:color w:val="0E101A"/>
        </w:rPr>
        <w:t>ones provide</w:t>
      </w:r>
      <w:r>
        <w:rPr>
          <w:color w:val="0E101A"/>
        </w:rPr>
        <w:t xml:space="preserve"> an</w:t>
      </w:r>
      <w:r w:rsidRPr="00CA4743">
        <w:rPr>
          <w:color w:val="0E101A"/>
        </w:rPr>
        <w:t xml:space="preserve"> option for the synthesis of </w:t>
      </w:r>
      <w:r>
        <w:rPr>
          <w:color w:val="0E101A"/>
        </w:rPr>
        <w:t xml:space="preserve">bone </w:t>
      </w:r>
      <w:r w:rsidRPr="00CA4743">
        <w:rPr>
          <w:color w:val="0E101A"/>
        </w:rPr>
        <w:t>nHA</w:t>
      </w:r>
      <w:r>
        <w:rPr>
          <w:color w:val="0E101A"/>
        </w:rPr>
        <w:t xml:space="preserve"> nanoparticles. </w:t>
      </w:r>
      <w:r w:rsidRPr="00BB4B6E">
        <w:rPr>
          <w:color w:val="0E101A"/>
        </w:rPr>
        <w:t>It also bears the advantage of being non-toxic, and has higher</w:t>
      </w:r>
      <w:r>
        <w:rPr>
          <w:color w:val="0E101A"/>
        </w:rPr>
        <w:t xml:space="preserve"> selective adsorption to heavy metals (Suchanek </w:t>
      </w:r>
      <w:r>
        <w:rPr>
          <w:rStyle w:val="Emphasis"/>
          <w:rFonts w:eastAsiaTheme="majorEastAsia"/>
          <w:color w:val="0E101A"/>
        </w:rPr>
        <w:t>et al</w:t>
      </w:r>
      <w:r>
        <w:rPr>
          <w:color w:val="0E101A"/>
        </w:rPr>
        <w:t xml:space="preserve">., 2019; Zhangwei </w:t>
      </w:r>
      <w:r>
        <w:rPr>
          <w:rStyle w:val="Emphasis"/>
          <w:rFonts w:eastAsiaTheme="majorEastAsia"/>
          <w:color w:val="0E101A"/>
        </w:rPr>
        <w:t>et al</w:t>
      </w:r>
      <w:r>
        <w:rPr>
          <w:color w:val="0E101A"/>
        </w:rPr>
        <w:t xml:space="preserve">., 2019). </w:t>
      </w:r>
      <w:r w:rsidRPr="00CA4743">
        <w:rPr>
          <w:color w:val="0E101A"/>
        </w:rPr>
        <w:t xml:space="preserve">The application of </w:t>
      </w:r>
      <w:r>
        <w:rPr>
          <w:color w:val="0E101A"/>
        </w:rPr>
        <w:t xml:space="preserve">synthetic nHA </w:t>
      </w:r>
      <w:r w:rsidRPr="00CA4743">
        <w:rPr>
          <w:color w:val="0E101A"/>
        </w:rPr>
        <w:t xml:space="preserve">nano fertilizers </w:t>
      </w:r>
      <w:r>
        <w:rPr>
          <w:color w:val="0E101A"/>
        </w:rPr>
        <w:t>has</w:t>
      </w:r>
      <w:r w:rsidRPr="00CA4743">
        <w:rPr>
          <w:color w:val="0E101A"/>
        </w:rPr>
        <w:t xml:space="preserve"> improve</w:t>
      </w:r>
      <w:r>
        <w:rPr>
          <w:color w:val="0E101A"/>
        </w:rPr>
        <w:t>d</w:t>
      </w:r>
      <w:r w:rsidRPr="00CA4743">
        <w:rPr>
          <w:color w:val="0E101A"/>
        </w:rPr>
        <w:t xml:space="preserve"> the performance of crops</w:t>
      </w:r>
      <w:r>
        <w:rPr>
          <w:color w:val="0E101A"/>
        </w:rPr>
        <w:t xml:space="preserve"> such as </w:t>
      </w:r>
      <w:r w:rsidRPr="00CA4743">
        <w:rPr>
          <w:color w:val="0E101A"/>
        </w:rPr>
        <w:t>maize (</w:t>
      </w:r>
      <w:r>
        <w:rPr>
          <w:color w:val="0E101A"/>
        </w:rPr>
        <w:t xml:space="preserve">Suchanek </w:t>
      </w:r>
      <w:r w:rsidRPr="00CA4743">
        <w:rPr>
          <w:i/>
          <w:iCs/>
          <w:color w:val="0E101A"/>
        </w:rPr>
        <w:t>et al</w:t>
      </w:r>
      <w:r w:rsidRPr="00CA4743">
        <w:rPr>
          <w:color w:val="0E101A"/>
        </w:rPr>
        <w:t>., 2019; Raliya</w:t>
      </w:r>
      <w:r>
        <w:rPr>
          <w:color w:val="0E101A"/>
        </w:rPr>
        <w:t xml:space="preserve"> </w:t>
      </w:r>
      <w:r w:rsidRPr="00CA4743">
        <w:rPr>
          <w:i/>
          <w:iCs/>
          <w:color w:val="0E101A"/>
        </w:rPr>
        <w:t>et al</w:t>
      </w:r>
      <w:r w:rsidRPr="00CA4743">
        <w:rPr>
          <w:color w:val="0E101A"/>
        </w:rPr>
        <w:t xml:space="preserve">., 2015). </w:t>
      </w:r>
    </w:p>
    <w:p w:rsidR="00F934C1" w:rsidRPr="00CA4743" w:rsidRDefault="00F934C1" w:rsidP="00F934C1">
      <w:pPr>
        <w:rPr>
          <w:color w:val="0E101A"/>
        </w:rPr>
      </w:pPr>
    </w:p>
    <w:p w:rsidR="00F934C1" w:rsidRDefault="00F934C1" w:rsidP="00F934C1">
      <w:pPr>
        <w:pStyle w:val="NormalWeb"/>
        <w:spacing w:before="0" w:beforeAutospacing="0" w:after="0" w:afterAutospacing="0" w:line="480" w:lineRule="auto"/>
        <w:rPr>
          <w:color w:val="0E101A"/>
        </w:rPr>
      </w:pPr>
      <w:r>
        <w:rPr>
          <w:color w:val="0E101A"/>
        </w:rPr>
        <w:t>N</w:t>
      </w:r>
      <w:r w:rsidRPr="00CA4743">
        <w:rPr>
          <w:color w:val="0E101A"/>
        </w:rPr>
        <w:t>anoparticles</w:t>
      </w:r>
      <w:r>
        <w:rPr>
          <w:color w:val="0E101A"/>
        </w:rPr>
        <w:t xml:space="preserve"> can be coated</w:t>
      </w:r>
      <w:r w:rsidRPr="00CA4743">
        <w:rPr>
          <w:color w:val="0E101A"/>
        </w:rPr>
        <w:t xml:space="preserve"> with </w:t>
      </w:r>
      <w:r>
        <w:rPr>
          <w:color w:val="0E101A"/>
        </w:rPr>
        <w:t xml:space="preserve">commercial </w:t>
      </w:r>
      <w:r w:rsidRPr="00CA4743">
        <w:rPr>
          <w:color w:val="0E101A"/>
        </w:rPr>
        <w:t xml:space="preserve">fertilizer </w:t>
      </w:r>
      <w:r>
        <w:rPr>
          <w:color w:val="0E101A"/>
        </w:rPr>
        <w:t>to enable them to control</w:t>
      </w:r>
      <w:r w:rsidRPr="00CA4743">
        <w:rPr>
          <w:color w:val="0E101A"/>
        </w:rPr>
        <w:t xml:space="preserve"> the release of plant nutrients to the crop (Zhang</w:t>
      </w:r>
      <w:r>
        <w:rPr>
          <w:color w:val="0E101A"/>
        </w:rPr>
        <w:t xml:space="preserve"> </w:t>
      </w:r>
      <w:r w:rsidRPr="00CA4743">
        <w:rPr>
          <w:i/>
          <w:iCs/>
          <w:color w:val="0E101A"/>
        </w:rPr>
        <w:t>et al</w:t>
      </w:r>
      <w:r w:rsidRPr="00CA4743">
        <w:rPr>
          <w:color w:val="0E101A"/>
        </w:rPr>
        <w:t>., 2019). Studies show</w:t>
      </w:r>
      <w:r>
        <w:rPr>
          <w:color w:val="0E101A"/>
        </w:rPr>
        <w:t>s</w:t>
      </w:r>
      <w:r w:rsidRPr="00CA4743">
        <w:rPr>
          <w:color w:val="0E101A"/>
        </w:rPr>
        <w:t xml:space="preserve"> that</w:t>
      </w:r>
      <w:r>
        <w:rPr>
          <w:color w:val="0E101A"/>
        </w:rPr>
        <w:t>,</w:t>
      </w:r>
      <w:r w:rsidRPr="00CA4743">
        <w:rPr>
          <w:color w:val="0E101A"/>
        </w:rPr>
        <w:t xml:space="preserve"> the application of </w:t>
      </w:r>
      <w:r>
        <w:rPr>
          <w:color w:val="0E101A"/>
        </w:rPr>
        <w:t xml:space="preserve">commercial </w:t>
      </w:r>
      <w:r w:rsidRPr="00CA4743">
        <w:rPr>
          <w:color w:val="0E101A"/>
        </w:rPr>
        <w:t>nitrogenous, phospha</w:t>
      </w:r>
      <w:r>
        <w:rPr>
          <w:color w:val="0E101A"/>
        </w:rPr>
        <w:t xml:space="preserve">tic, and potassium fertilizers and </w:t>
      </w:r>
      <w:r w:rsidRPr="00CA4743">
        <w:rPr>
          <w:color w:val="0E101A"/>
        </w:rPr>
        <w:t>micronutrients using nanoparticles increase</w:t>
      </w:r>
      <w:r>
        <w:rPr>
          <w:color w:val="0E101A"/>
        </w:rPr>
        <w:t>s</w:t>
      </w:r>
      <w:r w:rsidRPr="00CA4743">
        <w:rPr>
          <w:color w:val="0E101A"/>
        </w:rPr>
        <w:t xml:space="preserve"> the </w:t>
      </w:r>
      <w:r>
        <w:rPr>
          <w:color w:val="0E101A"/>
        </w:rPr>
        <w:t>nutrient</w:t>
      </w:r>
      <w:r w:rsidRPr="00CA4743">
        <w:rPr>
          <w:color w:val="0E101A"/>
        </w:rPr>
        <w:t xml:space="preserve"> use efficiency </w:t>
      </w:r>
      <w:r>
        <w:rPr>
          <w:color w:val="0E101A"/>
        </w:rPr>
        <w:t>in</w:t>
      </w:r>
      <w:r w:rsidRPr="00CA4743">
        <w:rPr>
          <w:color w:val="0E101A"/>
        </w:rPr>
        <w:t xml:space="preserve"> grain crops</w:t>
      </w:r>
      <w:r>
        <w:rPr>
          <w:color w:val="0E101A"/>
        </w:rPr>
        <w:t xml:space="preserve"> (</w:t>
      </w:r>
      <w:r w:rsidRPr="00CA4743">
        <w:rPr>
          <w:color w:val="0E101A"/>
        </w:rPr>
        <w:t>Zhang</w:t>
      </w:r>
      <w:r>
        <w:rPr>
          <w:color w:val="0E101A"/>
        </w:rPr>
        <w:t xml:space="preserve"> </w:t>
      </w:r>
      <w:r w:rsidRPr="00CA4743">
        <w:rPr>
          <w:i/>
          <w:iCs/>
          <w:color w:val="0E101A"/>
        </w:rPr>
        <w:t>et al.</w:t>
      </w:r>
      <w:r w:rsidRPr="00CA4743">
        <w:rPr>
          <w:color w:val="0E101A"/>
        </w:rPr>
        <w:t>, 2019; Ma</w:t>
      </w:r>
      <w:r>
        <w:rPr>
          <w:color w:val="0E101A"/>
        </w:rPr>
        <w:t xml:space="preserve"> </w:t>
      </w:r>
      <w:r w:rsidRPr="00CA4743">
        <w:rPr>
          <w:i/>
          <w:iCs/>
          <w:color w:val="0E101A"/>
        </w:rPr>
        <w:t>et al.,</w:t>
      </w:r>
      <w:r>
        <w:rPr>
          <w:i/>
          <w:iCs/>
          <w:color w:val="0E101A"/>
        </w:rPr>
        <w:t xml:space="preserve"> </w:t>
      </w:r>
      <w:r>
        <w:rPr>
          <w:color w:val="0E101A"/>
        </w:rPr>
        <w:t>2</w:t>
      </w:r>
      <w:r w:rsidRPr="00CA4743">
        <w:rPr>
          <w:color w:val="0E101A"/>
        </w:rPr>
        <w:t>013). Ma</w:t>
      </w:r>
      <w:r>
        <w:rPr>
          <w:color w:val="0E101A"/>
        </w:rPr>
        <w:t xml:space="preserve"> </w:t>
      </w:r>
      <w:r>
        <w:rPr>
          <w:i/>
          <w:iCs/>
          <w:color w:val="0E101A"/>
        </w:rPr>
        <w:t xml:space="preserve">et al. </w:t>
      </w:r>
      <w:r w:rsidRPr="0089497F">
        <w:rPr>
          <w:iCs/>
          <w:color w:val="0E101A"/>
        </w:rPr>
        <w:t>(</w:t>
      </w:r>
      <w:r w:rsidRPr="00B7072F">
        <w:rPr>
          <w:color w:val="0E101A"/>
        </w:rPr>
        <w:t>2013</w:t>
      </w:r>
      <w:r w:rsidRPr="00CA4743">
        <w:rPr>
          <w:color w:val="0E101A"/>
        </w:rPr>
        <w:t>)</w:t>
      </w:r>
      <w:r>
        <w:rPr>
          <w:color w:val="0E101A"/>
        </w:rPr>
        <w:t xml:space="preserve"> </w:t>
      </w:r>
      <w:r w:rsidRPr="00CA4743">
        <w:rPr>
          <w:color w:val="0E101A"/>
        </w:rPr>
        <w:t xml:space="preserve">reported that the </w:t>
      </w:r>
      <w:r>
        <w:rPr>
          <w:color w:val="0E101A"/>
        </w:rPr>
        <w:t>use</w:t>
      </w:r>
      <w:r w:rsidRPr="00CA4743">
        <w:rPr>
          <w:color w:val="0E101A"/>
        </w:rPr>
        <w:t xml:space="preserve"> of nano</w:t>
      </w:r>
      <w:r>
        <w:rPr>
          <w:color w:val="0E101A"/>
        </w:rPr>
        <w:t>-</w:t>
      </w:r>
      <w:r w:rsidRPr="00CA4743">
        <w:rPr>
          <w:color w:val="0E101A"/>
        </w:rPr>
        <w:t>doped fertilizers increase</w:t>
      </w:r>
      <w:r>
        <w:rPr>
          <w:color w:val="0E101A"/>
        </w:rPr>
        <w:t>s</w:t>
      </w:r>
      <w:r w:rsidRPr="00CA4743">
        <w:rPr>
          <w:color w:val="0E101A"/>
        </w:rPr>
        <w:t xml:space="preserve"> crop productivity. </w:t>
      </w:r>
      <w:r>
        <w:rPr>
          <w:color w:val="0E101A"/>
        </w:rPr>
        <w:t xml:space="preserve">Among the </w:t>
      </w:r>
      <w:r w:rsidRPr="00CA4743">
        <w:rPr>
          <w:color w:val="0E101A"/>
        </w:rPr>
        <w:t xml:space="preserve">methods of preparing nHA crystals </w:t>
      </w:r>
      <w:r>
        <w:rPr>
          <w:color w:val="0E101A"/>
        </w:rPr>
        <w:t xml:space="preserve">are </w:t>
      </w:r>
      <w:r w:rsidRPr="00CA4743">
        <w:rPr>
          <w:color w:val="0E101A"/>
        </w:rPr>
        <w:t>wet chemical precipitation,</w:t>
      </w:r>
      <w:r>
        <w:rPr>
          <w:color w:val="0E101A"/>
        </w:rPr>
        <w:t xml:space="preserve"> </w:t>
      </w:r>
      <w:r w:rsidRPr="00CA4743">
        <w:rPr>
          <w:color w:val="0E101A"/>
        </w:rPr>
        <w:t>sol-gel</w:t>
      </w:r>
      <w:r>
        <w:rPr>
          <w:color w:val="0E101A"/>
        </w:rPr>
        <w:t>,</w:t>
      </w:r>
      <w:r w:rsidRPr="00CA4743">
        <w:rPr>
          <w:color w:val="0E101A"/>
        </w:rPr>
        <w:t xml:space="preserve"> biomimetic deposition, and electro</w:t>
      </w:r>
      <w:r>
        <w:rPr>
          <w:color w:val="0E101A"/>
        </w:rPr>
        <w:t>-</w:t>
      </w:r>
      <w:r w:rsidRPr="00CA4743">
        <w:rPr>
          <w:color w:val="0E101A"/>
        </w:rPr>
        <w:t>deposition (Wang</w:t>
      </w:r>
      <w:r>
        <w:rPr>
          <w:color w:val="0E101A"/>
        </w:rPr>
        <w:t xml:space="preserve"> </w:t>
      </w:r>
      <w:r w:rsidRPr="00CA4743">
        <w:rPr>
          <w:i/>
          <w:iCs/>
          <w:color w:val="0E101A"/>
        </w:rPr>
        <w:t>et al</w:t>
      </w:r>
      <w:r w:rsidRPr="00CA4743">
        <w:rPr>
          <w:color w:val="0E101A"/>
        </w:rPr>
        <w:t xml:space="preserve">., 2016). The wet </w:t>
      </w:r>
      <w:r>
        <w:rPr>
          <w:color w:val="0E101A"/>
        </w:rPr>
        <w:t>chemical precipitation method was employed in this study</w:t>
      </w:r>
      <w:r>
        <w:t xml:space="preserve"> to synthesize nHA </w:t>
      </w:r>
      <w:r>
        <w:rPr>
          <w:color w:val="0E101A"/>
        </w:rPr>
        <w:t xml:space="preserve">nanoparticles. These synthetic nHA </w:t>
      </w:r>
      <w:r w:rsidRPr="00CA4743">
        <w:rPr>
          <w:color w:val="0E101A"/>
        </w:rPr>
        <w:t xml:space="preserve">have been used for growing several crops including cereals, vegetables, and </w:t>
      </w:r>
      <w:r>
        <w:rPr>
          <w:color w:val="0E101A"/>
        </w:rPr>
        <w:t xml:space="preserve">legumes </w:t>
      </w:r>
      <w:r w:rsidRPr="004E5EF7">
        <w:rPr>
          <w:color w:val="0E101A"/>
        </w:rPr>
        <w:t xml:space="preserve">(Sun </w:t>
      </w:r>
      <w:r w:rsidRPr="004E5EF7">
        <w:rPr>
          <w:i/>
          <w:color w:val="0E101A"/>
        </w:rPr>
        <w:t>et al.,</w:t>
      </w:r>
      <w:r w:rsidRPr="004E5EF7">
        <w:rPr>
          <w:color w:val="0E101A"/>
        </w:rPr>
        <w:t xml:space="preserve"> 20</w:t>
      </w:r>
      <w:r>
        <w:rPr>
          <w:color w:val="0E101A"/>
        </w:rPr>
        <w:t>20</w:t>
      </w:r>
      <w:r w:rsidRPr="004E5EF7">
        <w:rPr>
          <w:color w:val="0E101A"/>
        </w:rPr>
        <w:t>;</w:t>
      </w:r>
      <w:r>
        <w:rPr>
          <w:color w:val="0E101A"/>
        </w:rPr>
        <w:t xml:space="preserve"> Muhammad </w:t>
      </w:r>
      <w:r w:rsidRPr="004E5EF7">
        <w:rPr>
          <w:rStyle w:val="Emphasis"/>
          <w:rFonts w:eastAsiaTheme="majorEastAsia"/>
          <w:color w:val="0E101A"/>
        </w:rPr>
        <w:t>et al</w:t>
      </w:r>
      <w:r w:rsidRPr="004E5EF7">
        <w:rPr>
          <w:color w:val="0E101A"/>
        </w:rPr>
        <w:t>., 2019; Disfani</w:t>
      </w:r>
      <w:r>
        <w:rPr>
          <w:color w:val="0E101A"/>
        </w:rPr>
        <w:t xml:space="preserve"> </w:t>
      </w:r>
      <w:r w:rsidRPr="004E5EF7">
        <w:rPr>
          <w:rStyle w:val="Emphasis"/>
          <w:rFonts w:eastAsiaTheme="majorEastAsia"/>
          <w:color w:val="0E101A"/>
        </w:rPr>
        <w:t>et al</w:t>
      </w:r>
      <w:r w:rsidRPr="004E5EF7">
        <w:rPr>
          <w:color w:val="0E101A"/>
        </w:rPr>
        <w:t>., 2017</w:t>
      </w:r>
      <w:r>
        <w:rPr>
          <w:color w:val="0E101A"/>
        </w:rPr>
        <w:t>).</w:t>
      </w:r>
    </w:p>
    <w:p w:rsidR="00F934C1" w:rsidRPr="00BB4B6E" w:rsidRDefault="00F934C1" w:rsidP="00F934C1">
      <w:pPr>
        <w:rPr>
          <w:color w:val="0E101A"/>
        </w:rPr>
      </w:pPr>
      <w:r w:rsidRPr="00BB4B6E">
        <w:rPr>
          <w:color w:val="0E101A"/>
        </w:rPr>
        <w:lastRenderedPageBreak/>
        <w:t xml:space="preserve">At maturity, vegetables and legumes such as beans and soybeans have shown higher uptake of Cd, Pb and Mn heavy metals especially when grown in highly polluted soils, they </w:t>
      </w:r>
      <w:r w:rsidRPr="00BB4B6E">
        <w:rPr>
          <w:color w:val="000000" w:themeColor="text1"/>
        </w:rPr>
        <w:t>uptake heavy metals beyond FAO/WHO permissible levels of 10 µ</w:t>
      </w:r>
      <w:r w:rsidRPr="00BB4B6E">
        <w:t>gg</w:t>
      </w:r>
      <w:r w:rsidRPr="00BB4B6E">
        <w:rPr>
          <w:vertAlign w:val="superscript"/>
        </w:rPr>
        <w:t xml:space="preserve">-1 </w:t>
      </w:r>
      <w:r w:rsidRPr="00BB4B6E">
        <w:rPr>
          <w:color w:val="0E101A"/>
        </w:rPr>
        <w:t xml:space="preserve">(Wang </w:t>
      </w:r>
      <w:r w:rsidRPr="00BB4B6E">
        <w:rPr>
          <w:i/>
          <w:iCs/>
          <w:color w:val="0E101A"/>
        </w:rPr>
        <w:t>et al.</w:t>
      </w:r>
      <w:r w:rsidRPr="00BB4B6E">
        <w:rPr>
          <w:color w:val="0E101A"/>
        </w:rPr>
        <w:t xml:space="preserve">, 2016). The major source of these heavy metals in Kisii County is sewage effluents used in watering of vegetables. The levels of heavy metal uptake by crops depends on the level of plant maturity especially within 30 to 90 days, with some studies showing reduction of heavy metal uptake with plant maturity due to their immobilization by nanoparticles </w:t>
      </w:r>
      <w:r w:rsidR="00C226E6" w:rsidRPr="00BB4B6E">
        <w:rPr>
          <w:color w:val="0E101A"/>
        </w:rPr>
        <w:fldChar w:fldCharType="begin" w:fldLock="1"/>
      </w:r>
      <w:r w:rsidRPr="00BB4B6E">
        <w:rPr>
          <w:color w:val="0E101A"/>
        </w:rPr>
        <w:instrText>ADDIN CSL_CITATION {"citationItems":[{"id":"ITEM-1","itemData":{"author":[{"dropping-particle":"","family":"Mohammad K. S.","given":"Mansoure H. and Tsehaye","non-dropping-particle":"","parse-names":false,"suffix":""}],"container-title":"Chemical and Biological Technologies in Agriculture","id":"ITEM-1","issued":{"date-parts":[["2019"]]},"page":"25, 12-19","title":"Plant growth stage influences heavy metal accumulation in leafy vegetables of garden cress and sweet basil","type":"article-journal","volume":"6"},"uris":["http://www.mendeley.com/documents/?uuid=704222e8-8d51-4043-85da-5abb90f195bb"]}],"mendeley":{"formattedCitation":"(Mohammad K. S., 2019)","manualFormatting":"(Mohammad et al., 2019)","plainTextFormattedCitation":"(Mohammad K. S., 2019)"},"properties":{"noteIndex":0},"schema":"https://github.com/citation-style-language/schema/raw/master/csl-citation.json"}</w:instrText>
      </w:r>
      <w:r w:rsidR="00C226E6" w:rsidRPr="00BB4B6E">
        <w:rPr>
          <w:color w:val="0E101A"/>
        </w:rPr>
        <w:fldChar w:fldCharType="separate"/>
      </w:r>
      <w:r w:rsidRPr="00BB4B6E">
        <w:rPr>
          <w:noProof/>
          <w:color w:val="0E101A"/>
        </w:rPr>
        <w:t xml:space="preserve">(Mohammad </w:t>
      </w:r>
      <w:r w:rsidRPr="00BB4B6E">
        <w:rPr>
          <w:i/>
          <w:noProof/>
          <w:color w:val="0E101A"/>
        </w:rPr>
        <w:t>et al.</w:t>
      </w:r>
      <w:r w:rsidRPr="00BB4B6E">
        <w:rPr>
          <w:noProof/>
          <w:color w:val="0E101A"/>
        </w:rPr>
        <w:t xml:space="preserve">, 2019; </w:t>
      </w:r>
      <w:r w:rsidR="00C226E6" w:rsidRPr="00BB4B6E">
        <w:rPr>
          <w:color w:val="000000"/>
        </w:rPr>
        <w:fldChar w:fldCharType="begin" w:fldLock="1"/>
      </w:r>
      <w:r w:rsidRPr="00BB4B6E">
        <w:instrText>ADDIN CSL_CITATION {"citationItems":[{"id":"ITEM-1","itemData":{"author":[{"dropping-particle":"","family":"Wang","given":"S.H.","non-dropping-particle":"","parse-names":false,"suffix":""},{"dropping-particle":"","family":"Wang","given":"F.Y.","non-dropping-particle":"","parse-names":false,"suffix":""},{"dropping-particle":"","family":"Gao","given":"S.C.","non-dropping-particle":"","parse-names":false,"suffix":""},{"dropping-particle":"","family":"Wang","given":"X.G.","non-dropping-particle":"","parse-names":false,"suffix":""}],"container-title":"Water Air Soil Pollution.","id":"ITEM-1","issued":{"date-parts":[["2016"]]},"page":"227-228","title":"Heavy metal accumulation in different rice cultivars as influenced by foliar application of nano-silicon.","type":"article-journal","volume":"213"},"uris":["http://www.mendeley.com/documents/?uuid=786662ad-a0e1-4d8e-8782-7ce80102bfc8"]}],"mendeley":{"formattedCitation":"(Wang et al., 2016)","manualFormatting":"Sezgin et al.(2013)","plainTextFormattedCitation":"(Wang et al., 2016)","previouslyFormattedCitation":"(Wang et al., 2016)"},"properties":{"noteIndex":0},"schema":"https://github.com/citation-style-language/schema/raw/master/csl-citation.json"}</w:instrText>
      </w:r>
      <w:r w:rsidR="00C226E6" w:rsidRPr="00BB4B6E">
        <w:rPr>
          <w:color w:val="000000"/>
        </w:rPr>
        <w:fldChar w:fldCharType="separate"/>
      </w:r>
      <w:r w:rsidRPr="00BB4B6E">
        <w:rPr>
          <w:noProof/>
        </w:rPr>
        <w:t xml:space="preserve">Sezgin </w:t>
      </w:r>
      <w:r w:rsidRPr="00BB4B6E">
        <w:rPr>
          <w:i/>
          <w:noProof/>
        </w:rPr>
        <w:t>et al.</w:t>
      </w:r>
      <w:r w:rsidRPr="00BB4B6E">
        <w:rPr>
          <w:noProof/>
        </w:rPr>
        <w:t>, 2019)</w:t>
      </w:r>
      <w:r w:rsidR="00C226E6" w:rsidRPr="00BB4B6E">
        <w:rPr>
          <w:color w:val="000000"/>
        </w:rPr>
        <w:fldChar w:fldCharType="end"/>
      </w:r>
      <w:r w:rsidR="00C226E6" w:rsidRPr="00BB4B6E">
        <w:rPr>
          <w:color w:val="0E101A"/>
        </w:rPr>
        <w:fldChar w:fldCharType="end"/>
      </w:r>
      <w:r w:rsidRPr="00BB4B6E">
        <w:rPr>
          <w:color w:val="0E101A"/>
        </w:rPr>
        <w:t xml:space="preserve">. However at maturity, </w:t>
      </w:r>
      <w:r w:rsidRPr="00BB4B6E">
        <w:rPr>
          <w:color w:val="000000" w:themeColor="text1"/>
        </w:rPr>
        <w:t>heavy metals levels in crops should not go beyond FAO/WHO permissible levels of 10 µ</w:t>
      </w:r>
      <w:r w:rsidRPr="00BB4B6E">
        <w:t>gg</w:t>
      </w:r>
      <w:r w:rsidRPr="00BB4B6E">
        <w:rPr>
          <w:vertAlign w:val="superscript"/>
        </w:rPr>
        <w:t>-1</w:t>
      </w:r>
      <w:r w:rsidRPr="00BB4B6E">
        <w:t xml:space="preserve">. </w:t>
      </w:r>
      <w:r w:rsidRPr="00BB4B6E">
        <w:rPr>
          <w:color w:val="0E101A"/>
        </w:rPr>
        <w:t>Nanoparticles such as synthetic nHA have been used to lower heavy metal uptake and improve crop growth parameter majorly plant height (Z</w:t>
      </w:r>
      <w:r>
        <w:rPr>
          <w:color w:val="0E101A"/>
        </w:rPr>
        <w:t>h</w:t>
      </w:r>
      <w:r w:rsidRPr="00BB4B6E">
        <w:rPr>
          <w:color w:val="0E101A"/>
        </w:rPr>
        <w:t xml:space="preserve">angwei </w:t>
      </w:r>
      <w:r w:rsidRPr="00BB4B6E">
        <w:rPr>
          <w:i/>
          <w:iCs/>
          <w:color w:val="0E101A"/>
        </w:rPr>
        <w:t>et al</w:t>
      </w:r>
      <w:r w:rsidRPr="00BB4B6E">
        <w:rPr>
          <w:color w:val="0E101A"/>
        </w:rPr>
        <w:t xml:space="preserve">., 2019; Raliya </w:t>
      </w:r>
      <w:r w:rsidRPr="00BB4B6E">
        <w:rPr>
          <w:i/>
          <w:iCs/>
          <w:color w:val="0E101A"/>
        </w:rPr>
        <w:t>et al</w:t>
      </w:r>
      <w:r w:rsidRPr="00BB4B6E">
        <w:rPr>
          <w:color w:val="0E101A"/>
        </w:rPr>
        <w:t xml:space="preserve">., 2015). It can also improve other growth parameters namely, dry weight, leaf diameter, number of leaves and tillers, stem diameter, number of pods, crop yield, leaf surface area and chlorophyll content (Du </w:t>
      </w:r>
      <w:r w:rsidRPr="00BB4B6E">
        <w:rPr>
          <w:i/>
          <w:iCs/>
          <w:color w:val="0E101A"/>
        </w:rPr>
        <w:t>et al</w:t>
      </w:r>
      <w:r w:rsidRPr="00BB4B6E">
        <w:rPr>
          <w:color w:val="0E101A"/>
        </w:rPr>
        <w:t>., 2019; Dwivedi</w:t>
      </w:r>
      <w:r w:rsidRPr="00BB4B6E">
        <w:rPr>
          <w:i/>
          <w:iCs/>
          <w:color w:val="0E101A"/>
        </w:rPr>
        <w:t xml:space="preserve"> </w:t>
      </w:r>
      <w:r>
        <w:rPr>
          <w:i/>
          <w:iCs/>
          <w:color w:val="0E101A"/>
        </w:rPr>
        <w:t xml:space="preserve">et </w:t>
      </w:r>
      <w:r w:rsidRPr="00BB4B6E">
        <w:rPr>
          <w:i/>
          <w:iCs/>
          <w:color w:val="0E101A"/>
        </w:rPr>
        <w:t>al</w:t>
      </w:r>
      <w:r w:rsidRPr="00BB4B6E">
        <w:rPr>
          <w:color w:val="0E101A"/>
        </w:rPr>
        <w:t xml:space="preserve">., 2016). </w:t>
      </w:r>
    </w:p>
    <w:p w:rsidR="00F934C1" w:rsidRPr="00BB4B6E" w:rsidRDefault="00F934C1" w:rsidP="00F934C1">
      <w:pPr>
        <w:rPr>
          <w:color w:val="0E101A"/>
        </w:rPr>
      </w:pPr>
    </w:p>
    <w:p w:rsidR="00F934C1" w:rsidRPr="00BB4B6E" w:rsidRDefault="00F934C1" w:rsidP="00F934C1">
      <w:pPr>
        <w:rPr>
          <w:color w:val="0E101A"/>
        </w:rPr>
      </w:pPr>
      <w:r w:rsidRPr="00BB4B6E">
        <w:rPr>
          <w:color w:val="0E101A"/>
        </w:rPr>
        <w:t>Notably, synthetic hydroxyapatite has been used to improve soy bean dry weight performance by 75 % (Z</w:t>
      </w:r>
      <w:r>
        <w:rPr>
          <w:color w:val="0E101A"/>
        </w:rPr>
        <w:t>h</w:t>
      </w:r>
      <w:r w:rsidRPr="00BB4B6E">
        <w:rPr>
          <w:color w:val="0E101A"/>
        </w:rPr>
        <w:t xml:space="preserve">angwei </w:t>
      </w:r>
      <w:r w:rsidRPr="00BB4B6E">
        <w:rPr>
          <w:i/>
          <w:iCs/>
          <w:color w:val="0E101A"/>
        </w:rPr>
        <w:t>et al</w:t>
      </w:r>
      <w:r w:rsidRPr="00BB4B6E">
        <w:rPr>
          <w:color w:val="0E101A"/>
        </w:rPr>
        <w:t>., 2019). Similarly other researchers have used synthetic hydroxyapatite nanoparticles to increase dry weight in soy bean by 20 % (Liu and Lal, 2014). The use of bone nHA was investigated on common bean (</w:t>
      </w:r>
      <w:r w:rsidRPr="00BB4B6E">
        <w:rPr>
          <w:rStyle w:val="Emphasis"/>
          <w:rFonts w:eastAsiaTheme="majorEastAsia"/>
          <w:color w:val="0E101A"/>
        </w:rPr>
        <w:t>P. Vulgaris L</w:t>
      </w:r>
      <w:r w:rsidRPr="00BB4B6E">
        <w:rPr>
          <w:color w:val="0E101A"/>
        </w:rPr>
        <w:t>.), spinach (</w:t>
      </w:r>
      <w:r w:rsidRPr="00BB4B6E">
        <w:rPr>
          <w:rStyle w:val="Emphasis"/>
          <w:rFonts w:eastAsiaTheme="majorEastAsia"/>
          <w:color w:val="0E101A"/>
        </w:rPr>
        <w:t>Spinacia oleracea</w:t>
      </w:r>
      <w:r w:rsidRPr="00BB4B6E">
        <w:rPr>
          <w:color w:val="0E101A"/>
        </w:rPr>
        <w:t xml:space="preserve">) and </w:t>
      </w:r>
      <w:r w:rsidRPr="00BB4B6E">
        <w:rPr>
          <w:bCs/>
          <w:color w:val="0E101A"/>
        </w:rPr>
        <w:t>kales (</w:t>
      </w:r>
      <w:r w:rsidRPr="00BB4B6E">
        <w:rPr>
          <w:bCs/>
          <w:i/>
          <w:iCs/>
          <w:color w:val="0E101A"/>
        </w:rPr>
        <w:t>Brassica oleracea acephala</w:t>
      </w:r>
      <w:r>
        <w:rPr>
          <w:bCs/>
          <w:color w:val="0E101A"/>
        </w:rPr>
        <w:t xml:space="preserve">), </w:t>
      </w:r>
      <w:r w:rsidRPr="00BB4B6E">
        <w:rPr>
          <w:bCs/>
          <w:color w:val="0E101A"/>
        </w:rPr>
        <w:t xml:space="preserve">commonly known as </w:t>
      </w:r>
      <w:r>
        <w:rPr>
          <w:color w:val="0E101A"/>
        </w:rPr>
        <w:t>sukuma wiki</w:t>
      </w:r>
      <w:r w:rsidRPr="00BB4B6E">
        <w:rPr>
          <w:color w:val="0E101A"/>
        </w:rPr>
        <w:t xml:space="preserve"> which are food crops commonly consumed in Kisii County. Bones are generally inexpensive, non-toxic and highly selective (Suchanek </w:t>
      </w:r>
      <w:r w:rsidRPr="00BB4B6E">
        <w:rPr>
          <w:i/>
          <w:color w:val="0E101A"/>
        </w:rPr>
        <w:t>et al</w:t>
      </w:r>
      <w:r w:rsidRPr="00BB4B6E">
        <w:rPr>
          <w:color w:val="0E101A"/>
        </w:rPr>
        <w:t xml:space="preserve">., 2019). The common bean belongs to the legume family (Fabaceae) and is among the oldest and most common legume crops grown in East Africa </w:t>
      </w:r>
      <w:r w:rsidRPr="00BB4B6E">
        <w:rPr>
          <w:color w:val="0E101A"/>
        </w:rPr>
        <w:lastRenderedPageBreak/>
        <w:t xml:space="preserve">(Pramod </w:t>
      </w:r>
      <w:r w:rsidRPr="00BB4B6E">
        <w:rPr>
          <w:i/>
          <w:iCs/>
          <w:color w:val="0E101A"/>
        </w:rPr>
        <w:t>et al</w:t>
      </w:r>
      <w:r w:rsidRPr="00BB4B6E">
        <w:rPr>
          <w:color w:val="0E101A"/>
        </w:rPr>
        <w:t>., 2013) and in Kenya. The kales and spinach are both heavy metal accumulators, however both of them were chosen in this study because they vary in their level of heavy accumulation.</w:t>
      </w:r>
    </w:p>
    <w:p w:rsidR="00F934C1" w:rsidRPr="00BB4B6E" w:rsidRDefault="00F934C1" w:rsidP="00F934C1">
      <w:pPr>
        <w:rPr>
          <w:color w:val="0E101A"/>
        </w:rPr>
      </w:pPr>
    </w:p>
    <w:p w:rsidR="00F934C1" w:rsidRPr="00BB4B6E" w:rsidRDefault="00F934C1" w:rsidP="00F934C1">
      <w:pPr>
        <w:rPr>
          <w:color w:val="0E101A"/>
        </w:rPr>
      </w:pPr>
      <w:r w:rsidRPr="00BB4B6E">
        <w:rPr>
          <w:color w:val="0E101A"/>
        </w:rPr>
        <w:t xml:space="preserve">The thermodynamics working principle of nanoparticles to guarantee higher and sustainable crop growth is due to a negative change in Gibb’s free energy. When nanoparticles are encapsulated with fertilizers (nano fertilizers), their higher entropy makes the change in Gibbs free energy to be negative. This makes the reaction spontaneous and faster in the forward direction that guarantees the slower and effective release of crop nutrients (Song </w:t>
      </w:r>
      <w:r w:rsidRPr="00BB4B6E">
        <w:rPr>
          <w:i/>
          <w:iCs/>
          <w:color w:val="0E101A"/>
        </w:rPr>
        <w:t>et al</w:t>
      </w:r>
      <w:r w:rsidRPr="00BB4B6E">
        <w:rPr>
          <w:color w:val="0E101A"/>
        </w:rPr>
        <w:t xml:space="preserve">., 2013; Bertazzo </w:t>
      </w:r>
      <w:r w:rsidRPr="00BB4B6E">
        <w:rPr>
          <w:i/>
          <w:iCs/>
          <w:color w:val="0E101A"/>
        </w:rPr>
        <w:t>et al</w:t>
      </w:r>
      <w:r w:rsidRPr="00BB4B6E">
        <w:rPr>
          <w:color w:val="0E101A"/>
        </w:rPr>
        <w:t xml:space="preserve">., 2010). The nanoparticle thermodynamic adsorption capacity of Cd and Pb was investigated using linearised Langmuir and Freundlich isotherms. The efficacy of nano fertilizer adsorbents was evaluated and quantified by pseudo first-order and pseudo second-order kinetic models. The nanoparticle functional groups were investigated by Fourier Transform Infra-Red (FTIR), while nanoparticle morphology and particulate size were measured by Scanning Electron Microscopy (SEM) and X-Ray Diffraction (XRD) respectively. At maturity (60-90 days) Cd and Pb concentration levels in kale, spinach, bean plant, and isolated fraction was investigated since they are being </w:t>
      </w:r>
      <w:r>
        <w:rPr>
          <w:color w:val="0E101A"/>
        </w:rPr>
        <w:t xml:space="preserve">priority toxic heavy metals </w:t>
      </w:r>
      <w:r w:rsidRPr="00BB4B6E">
        <w:rPr>
          <w:color w:val="0E101A"/>
        </w:rPr>
        <w:t>were done by Atomi</w:t>
      </w:r>
      <w:r>
        <w:rPr>
          <w:color w:val="0E101A"/>
        </w:rPr>
        <w:t>c Absorption Spectroscopy (AAS).</w:t>
      </w:r>
      <w:r w:rsidRPr="00BB4B6E">
        <w:rPr>
          <w:color w:val="0E101A"/>
        </w:rPr>
        <w:t xml:space="preserve"> Nutrient re</w:t>
      </w:r>
      <w:r>
        <w:rPr>
          <w:color w:val="0E101A"/>
        </w:rPr>
        <w:t>lease rate batch experiment was</w:t>
      </w:r>
      <w:r w:rsidRPr="00BB4B6E">
        <w:rPr>
          <w:color w:val="0E101A"/>
        </w:rPr>
        <w:t xml:space="preserve"> done by </w:t>
      </w:r>
      <w:r>
        <w:rPr>
          <w:color w:val="0E101A"/>
        </w:rPr>
        <w:t>Ultra Violet spectroscopy (UV</w:t>
      </w:r>
      <w:r w:rsidRPr="00BB4B6E">
        <w:rPr>
          <w:color w:val="0E101A"/>
        </w:rPr>
        <w:t>).</w:t>
      </w:r>
    </w:p>
    <w:p w:rsidR="00F934C1" w:rsidRPr="00BB4B6E" w:rsidRDefault="00F934C1" w:rsidP="00F934C1">
      <w:pPr>
        <w:pStyle w:val="NormalWeb"/>
        <w:spacing w:before="0" w:beforeAutospacing="0" w:after="0" w:afterAutospacing="0" w:line="360" w:lineRule="auto"/>
        <w:rPr>
          <w:color w:val="0E101A"/>
        </w:rPr>
      </w:pPr>
    </w:p>
    <w:p w:rsidR="00F934C1" w:rsidRPr="00BB4B6E" w:rsidRDefault="00F934C1" w:rsidP="00F934C1">
      <w:pPr>
        <w:pStyle w:val="Heading2"/>
      </w:pPr>
      <w:bookmarkStart w:id="49" w:name="_Toc144819993"/>
      <w:r w:rsidRPr="00BB4B6E">
        <w:rPr>
          <w:rStyle w:val="Strong"/>
          <w:rFonts w:cs="Times New Roman"/>
          <w:b/>
          <w:bCs/>
          <w:szCs w:val="24"/>
        </w:rPr>
        <w:t xml:space="preserve">1.2 </w:t>
      </w:r>
      <w:r w:rsidRPr="00FF635A">
        <w:rPr>
          <w:rStyle w:val="Strong"/>
          <w:b/>
          <w:bCs/>
        </w:rPr>
        <w:t>Statement</w:t>
      </w:r>
      <w:r w:rsidRPr="00BB4B6E">
        <w:rPr>
          <w:rStyle w:val="Strong"/>
          <w:rFonts w:cs="Times New Roman"/>
          <w:b/>
          <w:bCs/>
          <w:szCs w:val="24"/>
        </w:rPr>
        <w:t xml:space="preserve"> of the Problem and Justification</w:t>
      </w:r>
      <w:bookmarkEnd w:id="49"/>
    </w:p>
    <w:p w:rsidR="00F934C1" w:rsidRPr="00BB4B6E" w:rsidRDefault="00F934C1" w:rsidP="00F934C1">
      <w:pPr>
        <w:rPr>
          <w:color w:val="0E101A"/>
        </w:rPr>
      </w:pPr>
      <w:r w:rsidRPr="00BB4B6E">
        <w:rPr>
          <w:color w:val="0E101A"/>
        </w:rPr>
        <w:t xml:space="preserve">Rapid population growth that is currently at 7.2 billion people poses the threat of hunger and acute food shortage especially in developing countries where already millions of persons suffer from hunger (FAO, 2015). This threat is attributed to the </w:t>
      </w:r>
      <w:r w:rsidRPr="00BB4B6E">
        <w:rPr>
          <w:color w:val="0E101A"/>
        </w:rPr>
        <w:lastRenderedPageBreak/>
        <w:t xml:space="preserve">limited agricultural fields which are decreasing as a result of human settlement and industrialization. Therefore, this has called for use of commercial fertilizer on the limited land space to increase food production. However, over application of commercial fertilizers reduces soil pH and % soil organic matter hence increasing uptake of Cd and Pb (Willer and Lernoud, 2015; Konate </w:t>
      </w:r>
      <w:r w:rsidRPr="00BB4B6E">
        <w:rPr>
          <w:i/>
          <w:iCs/>
          <w:color w:val="0E101A"/>
        </w:rPr>
        <w:t>et al</w:t>
      </w:r>
      <w:r w:rsidRPr="00BB4B6E">
        <w:rPr>
          <w:color w:val="0E101A"/>
        </w:rPr>
        <w:t>., 2014).</w:t>
      </w:r>
    </w:p>
    <w:p w:rsidR="00F934C1" w:rsidRPr="00BB4B6E" w:rsidRDefault="00F934C1" w:rsidP="00F934C1">
      <w:pPr>
        <w:rPr>
          <w:color w:val="0E101A"/>
        </w:rPr>
      </w:pPr>
    </w:p>
    <w:p w:rsidR="00F934C1" w:rsidRPr="00BB4B6E" w:rsidRDefault="00F934C1" w:rsidP="00F934C1">
      <w:pPr>
        <w:pStyle w:val="NormalWeb"/>
        <w:spacing w:before="0" w:beforeAutospacing="0" w:after="0" w:afterAutospacing="0" w:line="480" w:lineRule="auto"/>
        <w:rPr>
          <w:color w:val="0E101A"/>
        </w:rPr>
      </w:pPr>
      <w:r w:rsidRPr="00BB4B6E">
        <w:rPr>
          <w:color w:val="0E101A"/>
        </w:rPr>
        <w:t>Based on the challenge of using commercial fertilizers, alternative methods to increase food production have been explored. These include the use of synthesized nanoparticles to make nano fertilizers from carbon nano-tubes, calcites, gypsum, apatites, metal oxide particles, activated carbon, hydroxyapatites and the now proposed use of bone nHA. Nano fertilizers have many adsorption sites that ensure the slower release of nutrients such as NO</w:t>
      </w:r>
      <w:r w:rsidRPr="00BB4B6E">
        <w:rPr>
          <w:color w:val="0E101A"/>
          <w:vertAlign w:val="subscript"/>
        </w:rPr>
        <w:t>3</w:t>
      </w:r>
      <w:r w:rsidRPr="00BB4B6E">
        <w:rPr>
          <w:color w:val="0E101A"/>
          <w:vertAlign w:val="superscript"/>
        </w:rPr>
        <w:t>-</w:t>
      </w:r>
      <w:r w:rsidRPr="00BB4B6E">
        <w:rPr>
          <w:color w:val="0E101A"/>
        </w:rPr>
        <w:t>, PO</w:t>
      </w:r>
      <w:r w:rsidRPr="00BB4B6E">
        <w:rPr>
          <w:color w:val="0E101A"/>
          <w:vertAlign w:val="subscript"/>
        </w:rPr>
        <w:t>4</w:t>
      </w:r>
      <w:r w:rsidRPr="00BB4B6E">
        <w:rPr>
          <w:color w:val="0E101A"/>
          <w:vertAlign w:val="superscript"/>
        </w:rPr>
        <w:t>3-</w:t>
      </w:r>
      <w:r w:rsidRPr="00BB4B6E">
        <w:rPr>
          <w:color w:val="0E101A"/>
        </w:rPr>
        <w:t xml:space="preserve"> and K</w:t>
      </w:r>
      <w:r w:rsidRPr="00BB4B6E">
        <w:rPr>
          <w:color w:val="0E101A"/>
          <w:vertAlign w:val="superscript"/>
        </w:rPr>
        <w:t xml:space="preserve">+ </w:t>
      </w:r>
      <w:r w:rsidRPr="00BB4B6E">
        <w:rPr>
          <w:color w:val="0E101A"/>
        </w:rPr>
        <w:t xml:space="preserve">to guarantee their longer interaction with plants thereby increasing crop yields. Furthermore, they immobilize Cd and Pb heavy metals, eventually reducing their uptake in crops </w:t>
      </w:r>
      <w:r w:rsidRPr="00BB4B6E">
        <w:rPr>
          <w:noProof/>
        </w:rPr>
        <w:t xml:space="preserve">(Gil-Díaz </w:t>
      </w:r>
      <w:r w:rsidRPr="00BB4B6E">
        <w:rPr>
          <w:i/>
          <w:noProof/>
        </w:rPr>
        <w:t>et al</w:t>
      </w:r>
      <w:r w:rsidRPr="00BB4B6E">
        <w:rPr>
          <w:noProof/>
        </w:rPr>
        <w:t>., 2017).</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NormalWeb"/>
        <w:spacing w:before="0" w:beforeAutospacing="0" w:after="0" w:afterAutospacing="0" w:line="480" w:lineRule="auto"/>
        <w:rPr>
          <w:color w:val="0E101A"/>
        </w:rPr>
      </w:pPr>
      <w:r>
        <w:rPr>
          <w:color w:val="0E101A"/>
        </w:rPr>
        <w:t>Bone nHA is</w:t>
      </w:r>
      <w:r w:rsidRPr="00BB4B6E">
        <w:rPr>
          <w:color w:val="0E101A"/>
        </w:rPr>
        <w:t xml:space="preserve"> envisaged to portray an advantage over other nanofertilizers, since they contain essential crop nutrients such as phosphorus and calcium (Suchanek </w:t>
      </w:r>
      <w:r w:rsidRPr="00BB4B6E">
        <w:rPr>
          <w:i/>
          <w:iCs/>
          <w:color w:val="0E101A"/>
        </w:rPr>
        <w:t>et al</w:t>
      </w:r>
      <w:r w:rsidRPr="00BB4B6E">
        <w:rPr>
          <w:color w:val="0E101A"/>
        </w:rPr>
        <w:t xml:space="preserve">., 2019). Globally, 130 billion kilograms of bones are dumped annually from slaughterhouses with 3 billion kilograms recorded in Kenya alone, which is essentially an environmental menace (Suchanek </w:t>
      </w:r>
      <w:r w:rsidRPr="00BB4B6E">
        <w:rPr>
          <w:i/>
          <w:iCs/>
          <w:color w:val="0E101A"/>
        </w:rPr>
        <w:t>et al</w:t>
      </w:r>
      <w:r w:rsidRPr="00BB4B6E">
        <w:rPr>
          <w:color w:val="0E101A"/>
        </w:rPr>
        <w:t xml:space="preserve">., 2019). Using Bone in this study not only presents readily available material for synthesis of nano-fertilizers for increased food production but also reduces environmental pollution. In order to address the potential contribution of bone nanofertilizers in food production which has not been investigated, the growth performance parameters namely plant height , </w:t>
      </w:r>
      <w:r w:rsidRPr="00BB4B6E">
        <w:rPr>
          <w:color w:val="0E101A"/>
        </w:rPr>
        <w:lastRenderedPageBreak/>
        <w:t>leaf diameter, number of leaves and stem diameter of spinach, sukuma wiki, and beans were studied with the application of the nano fertilizers. Further, the findings on the effects on regulating the nutrient release rate of NO</w:t>
      </w:r>
      <w:r w:rsidRPr="00BB4B6E">
        <w:rPr>
          <w:color w:val="0E101A"/>
          <w:vertAlign w:val="subscript"/>
        </w:rPr>
        <w:t>3</w:t>
      </w:r>
      <w:r w:rsidRPr="00BB4B6E">
        <w:rPr>
          <w:color w:val="0E101A"/>
          <w:vertAlign w:val="superscript"/>
        </w:rPr>
        <w:t>-</w:t>
      </w:r>
      <w:r w:rsidRPr="00BB4B6E">
        <w:rPr>
          <w:color w:val="0E101A"/>
        </w:rPr>
        <w:t>, PO</w:t>
      </w:r>
      <w:r w:rsidRPr="00BB4B6E">
        <w:rPr>
          <w:color w:val="0E101A"/>
          <w:vertAlign w:val="subscript"/>
        </w:rPr>
        <w:t>4</w:t>
      </w:r>
      <w:r w:rsidRPr="00BB4B6E">
        <w:rPr>
          <w:color w:val="0E101A"/>
          <w:vertAlign w:val="superscript"/>
        </w:rPr>
        <w:t>3-</w:t>
      </w:r>
      <w:r w:rsidRPr="00BB4B6E">
        <w:rPr>
          <w:color w:val="0E101A"/>
        </w:rPr>
        <w:t xml:space="preserve"> and K</w:t>
      </w:r>
      <w:r w:rsidRPr="00BB4B6E">
        <w:rPr>
          <w:color w:val="0E101A"/>
          <w:vertAlign w:val="superscript"/>
        </w:rPr>
        <w:t>+</w:t>
      </w:r>
      <w:r w:rsidRPr="00BB4B6E">
        <w:rPr>
          <w:color w:val="0E101A"/>
        </w:rPr>
        <w:t xml:space="preserve"> and the heavy metal (Cd and Pb) adsorption kinetics will provide information on the effectiveness of the bone nano fertilizers.</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Heading2"/>
      </w:pPr>
      <w:bookmarkStart w:id="50" w:name="_Toc144819994"/>
      <w:r w:rsidRPr="00BB4B6E">
        <w:t>1.3 Null Hypotheses</w:t>
      </w:r>
      <w:bookmarkEnd w:id="50"/>
    </w:p>
    <w:p w:rsidR="00F934C1" w:rsidRPr="00BB4B6E" w:rsidRDefault="00F934C1" w:rsidP="00F934C1">
      <w:r w:rsidRPr="00BB4B6E">
        <w:t>There is no effect on the use of</w:t>
      </w:r>
      <w:r w:rsidRPr="00BB4B6E">
        <w:rPr>
          <w:color w:val="0E101A"/>
        </w:rPr>
        <w:t xml:space="preserve"> bone nHA and synthetic nHA hydroxyapatite </w:t>
      </w:r>
      <w:r w:rsidRPr="00BB4B6E">
        <w:t>nano-fertiliz</w:t>
      </w:r>
      <w:r>
        <w:t xml:space="preserve">ers on </w:t>
      </w:r>
      <w:r w:rsidRPr="00BB4B6E">
        <w:t>adsorption</w:t>
      </w:r>
      <w:r>
        <w:t xml:space="preserve"> and uptake of cadmium and lead</w:t>
      </w:r>
      <w:r w:rsidRPr="00BB4B6E">
        <w:t xml:space="preserve">, </w:t>
      </w:r>
      <w:r>
        <w:t xml:space="preserve">nutrient release and </w:t>
      </w:r>
      <w:r w:rsidRPr="00BB4B6E">
        <w:t xml:space="preserve">growth </w:t>
      </w:r>
      <w:r>
        <w:t>performance on selected crops.</w:t>
      </w:r>
    </w:p>
    <w:p w:rsidR="00F934C1" w:rsidRPr="00BB4B6E" w:rsidRDefault="00F934C1" w:rsidP="00F934C1"/>
    <w:p w:rsidR="00F934C1" w:rsidRPr="00BB4B6E" w:rsidRDefault="00F934C1" w:rsidP="00F934C1">
      <w:pPr>
        <w:pStyle w:val="Heading2"/>
      </w:pPr>
      <w:bookmarkStart w:id="51" w:name="_Toc144819995"/>
      <w:r w:rsidRPr="00BB4B6E">
        <w:t xml:space="preserve">1.4 </w:t>
      </w:r>
      <w:r w:rsidRPr="00FF635A">
        <w:t>Objectives</w:t>
      </w:r>
      <w:bookmarkEnd w:id="51"/>
    </w:p>
    <w:p w:rsidR="00F934C1" w:rsidRPr="00BB4B6E" w:rsidRDefault="00F934C1" w:rsidP="00F934C1">
      <w:pPr>
        <w:pStyle w:val="Heading3"/>
      </w:pPr>
      <w:bookmarkStart w:id="52" w:name="_Toc144819996"/>
      <w:r w:rsidRPr="00BB4B6E">
        <w:rPr>
          <w:rStyle w:val="Strong"/>
          <w:rFonts w:cs="Times New Roman"/>
          <w:b/>
          <w:bCs/>
        </w:rPr>
        <w:t xml:space="preserve">1.4.1 </w:t>
      </w:r>
      <w:r w:rsidRPr="00FF635A">
        <w:rPr>
          <w:rStyle w:val="Strong"/>
          <w:b/>
          <w:bCs/>
        </w:rPr>
        <w:t>General</w:t>
      </w:r>
      <w:r w:rsidRPr="00BB4B6E">
        <w:rPr>
          <w:rStyle w:val="Strong"/>
          <w:rFonts w:cs="Times New Roman"/>
          <w:b/>
          <w:bCs/>
        </w:rPr>
        <w:t xml:space="preserve"> Objective</w:t>
      </w:r>
      <w:bookmarkEnd w:id="52"/>
    </w:p>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To investigate </w:t>
      </w:r>
      <w:r w:rsidRPr="00BB4B6E">
        <w:t>effect on the use of</w:t>
      </w:r>
      <w:r w:rsidRPr="00BB4B6E">
        <w:rPr>
          <w:color w:val="0E101A"/>
        </w:rPr>
        <w:t xml:space="preserve"> bone nHA and synthetic nHA hydroxyapatite </w:t>
      </w:r>
      <w:r w:rsidRPr="00BB4B6E">
        <w:t>nano-fertiliz</w:t>
      </w:r>
      <w:r>
        <w:t xml:space="preserve">ers on </w:t>
      </w:r>
      <w:r w:rsidRPr="00BB4B6E">
        <w:t>adsorption</w:t>
      </w:r>
      <w:r>
        <w:t xml:space="preserve"> and uptake of cadmium and lead</w:t>
      </w:r>
      <w:r w:rsidRPr="00BB4B6E">
        <w:t xml:space="preserve">, </w:t>
      </w:r>
      <w:r>
        <w:t xml:space="preserve">nutrient release and </w:t>
      </w:r>
      <w:r w:rsidRPr="00BB4B6E">
        <w:t xml:space="preserve">growth </w:t>
      </w:r>
      <w:r>
        <w:t>performance on selected crops.</w:t>
      </w:r>
    </w:p>
    <w:p w:rsidR="00F934C1" w:rsidRPr="00BB4B6E" w:rsidRDefault="00F934C1" w:rsidP="00F934C1">
      <w:pPr>
        <w:pStyle w:val="NormalWeb"/>
        <w:spacing w:before="0" w:beforeAutospacing="0" w:after="0" w:afterAutospacing="0" w:line="480" w:lineRule="auto"/>
        <w:rPr>
          <w:rStyle w:val="Strong"/>
          <w:color w:val="0E101A"/>
        </w:rPr>
      </w:pPr>
    </w:p>
    <w:p w:rsidR="00F934C1" w:rsidRPr="00BB4B6E" w:rsidRDefault="00F934C1" w:rsidP="00F934C1">
      <w:pPr>
        <w:pStyle w:val="Heading3"/>
      </w:pPr>
      <w:bookmarkStart w:id="53" w:name="_Toc144819997"/>
      <w:r w:rsidRPr="00BB4B6E">
        <w:t xml:space="preserve">1.4.2 </w:t>
      </w:r>
      <w:r w:rsidRPr="00FF635A">
        <w:t>Specific</w:t>
      </w:r>
      <w:r w:rsidRPr="00BB4B6E">
        <w:t xml:space="preserve"> Objectives</w:t>
      </w:r>
      <w:bookmarkEnd w:id="53"/>
    </w:p>
    <w:p w:rsidR="00F934C1" w:rsidRPr="00BB4B6E" w:rsidRDefault="00F934C1" w:rsidP="00F934C1">
      <w:pPr>
        <w:pStyle w:val="NormalWeb"/>
        <w:numPr>
          <w:ilvl w:val="0"/>
          <w:numId w:val="30"/>
        </w:numPr>
        <w:spacing w:before="0" w:beforeAutospacing="0" w:after="0" w:afterAutospacing="0" w:line="480" w:lineRule="auto"/>
        <w:rPr>
          <w:color w:val="0E101A"/>
        </w:rPr>
      </w:pPr>
      <w:r w:rsidRPr="00BB4B6E">
        <w:rPr>
          <w:color w:val="0E101A"/>
        </w:rPr>
        <w:t xml:space="preserve">To characterize synthesized and encapsulated bone nHA nano-fertilizers with NPK, DAP </w:t>
      </w:r>
      <w:r>
        <w:rPr>
          <w:color w:val="0E101A"/>
        </w:rPr>
        <w:t xml:space="preserve">encapsulations </w:t>
      </w:r>
      <w:r w:rsidRPr="00BB4B6E">
        <w:rPr>
          <w:color w:val="0E101A"/>
        </w:rPr>
        <w:t>using SEM, XRD and FTIR analysis.</w:t>
      </w:r>
    </w:p>
    <w:p w:rsidR="00F934C1" w:rsidRPr="00BB4B6E" w:rsidRDefault="00F934C1" w:rsidP="00F934C1">
      <w:pPr>
        <w:pStyle w:val="NormalWeb"/>
        <w:numPr>
          <w:ilvl w:val="0"/>
          <w:numId w:val="30"/>
        </w:numPr>
        <w:spacing w:before="0" w:beforeAutospacing="0" w:after="0" w:afterAutospacing="0" w:line="480" w:lineRule="auto"/>
        <w:rPr>
          <w:color w:val="0E101A"/>
        </w:rPr>
      </w:pPr>
      <w:r w:rsidRPr="00BB4B6E">
        <w:rPr>
          <w:color w:val="0E101A"/>
        </w:rPr>
        <w:t>To determine the uptake levels of cadmium and lead in bean (</w:t>
      </w:r>
      <w:r w:rsidRPr="00BB4B6E">
        <w:rPr>
          <w:rStyle w:val="Emphasis"/>
          <w:rFonts w:eastAsiaTheme="majorEastAsia"/>
          <w:color w:val="0E101A"/>
        </w:rPr>
        <w:t>P. Vulgaris L</w:t>
      </w:r>
      <w:r w:rsidRPr="00BB4B6E">
        <w:rPr>
          <w:color w:val="0E101A"/>
        </w:rPr>
        <w:t>.), spinach (</w:t>
      </w:r>
      <w:r w:rsidRPr="00BB4B6E">
        <w:rPr>
          <w:rStyle w:val="Emphasis"/>
          <w:rFonts w:eastAsiaTheme="majorEastAsia"/>
          <w:color w:val="0E101A"/>
        </w:rPr>
        <w:t>Spinacia oleracea</w:t>
      </w:r>
      <w:r w:rsidRPr="00BB4B6E">
        <w:rPr>
          <w:color w:val="0E101A"/>
        </w:rPr>
        <w:t xml:space="preserve">) and </w:t>
      </w:r>
      <w:r w:rsidRPr="00BB4B6E">
        <w:rPr>
          <w:bCs/>
          <w:color w:val="0E101A"/>
        </w:rPr>
        <w:t>kales (</w:t>
      </w:r>
      <w:r w:rsidRPr="00BB4B6E">
        <w:rPr>
          <w:bCs/>
          <w:i/>
          <w:iCs/>
          <w:color w:val="0E101A"/>
        </w:rPr>
        <w:t>Brassica oleracea acephala</w:t>
      </w:r>
      <w:r w:rsidRPr="00BB4B6E">
        <w:rPr>
          <w:bCs/>
          <w:color w:val="0E101A"/>
        </w:rPr>
        <w:t xml:space="preserve">) </w:t>
      </w:r>
      <w:r>
        <w:rPr>
          <w:bCs/>
          <w:color w:val="0E101A"/>
        </w:rPr>
        <w:lastRenderedPageBreak/>
        <w:t xml:space="preserve">leaves </w:t>
      </w:r>
      <w:r w:rsidRPr="00BB4B6E">
        <w:rPr>
          <w:color w:val="0E101A"/>
        </w:rPr>
        <w:t xml:space="preserve">grown </w:t>
      </w:r>
      <w:r>
        <w:rPr>
          <w:color w:val="0E101A"/>
        </w:rPr>
        <w:t xml:space="preserve">for 90 days </w:t>
      </w:r>
      <w:r w:rsidRPr="00BB4B6E">
        <w:rPr>
          <w:color w:val="0E101A"/>
        </w:rPr>
        <w:t xml:space="preserve">in a greenhouse using bone nHA nano-fertilizers with NPK, DAP </w:t>
      </w:r>
      <w:r>
        <w:rPr>
          <w:color w:val="0E101A"/>
        </w:rPr>
        <w:t>encapsulations</w:t>
      </w:r>
      <w:r w:rsidRPr="00BB4B6E">
        <w:rPr>
          <w:color w:val="0E101A"/>
        </w:rPr>
        <w:t>.</w:t>
      </w:r>
    </w:p>
    <w:p w:rsidR="00F934C1" w:rsidRPr="00BB4B6E" w:rsidRDefault="00F934C1" w:rsidP="00F934C1">
      <w:pPr>
        <w:pStyle w:val="NormalWeb"/>
        <w:numPr>
          <w:ilvl w:val="0"/>
          <w:numId w:val="30"/>
        </w:numPr>
        <w:spacing w:line="480" w:lineRule="auto"/>
        <w:rPr>
          <w:color w:val="0E101A"/>
        </w:rPr>
      </w:pPr>
      <w:r w:rsidRPr="00BB4B6E">
        <w:rPr>
          <w:color w:val="0E101A"/>
        </w:rPr>
        <w:t>To determine the growth performance of bean (</w:t>
      </w:r>
      <w:r w:rsidRPr="00BB4B6E">
        <w:rPr>
          <w:rStyle w:val="Emphasis"/>
          <w:rFonts w:eastAsiaTheme="majorEastAsia"/>
          <w:color w:val="0E101A"/>
        </w:rPr>
        <w:t>P. Vulgaris L</w:t>
      </w:r>
      <w:r w:rsidRPr="00BB4B6E">
        <w:rPr>
          <w:color w:val="0E101A"/>
        </w:rPr>
        <w:t>.), spinach (</w:t>
      </w:r>
      <w:r w:rsidRPr="00BB4B6E">
        <w:rPr>
          <w:rStyle w:val="Emphasis"/>
          <w:rFonts w:eastAsiaTheme="majorEastAsia"/>
          <w:color w:val="0E101A"/>
        </w:rPr>
        <w:t>Spinacia oleracea</w:t>
      </w:r>
      <w:r w:rsidRPr="00BB4B6E">
        <w:rPr>
          <w:color w:val="0E101A"/>
        </w:rPr>
        <w:t xml:space="preserve">) and </w:t>
      </w:r>
      <w:r w:rsidRPr="00BB4B6E">
        <w:rPr>
          <w:bCs/>
          <w:color w:val="0E101A"/>
        </w:rPr>
        <w:t>kales (</w:t>
      </w:r>
      <w:r w:rsidRPr="00BB4B6E">
        <w:rPr>
          <w:bCs/>
          <w:i/>
          <w:iCs/>
          <w:color w:val="0E101A"/>
        </w:rPr>
        <w:t>Brassica oleracea acephala</w:t>
      </w:r>
      <w:r w:rsidRPr="00BB4B6E">
        <w:rPr>
          <w:bCs/>
          <w:color w:val="0E101A"/>
        </w:rPr>
        <w:t>)</w:t>
      </w:r>
      <w:r w:rsidRPr="00BB4B6E">
        <w:rPr>
          <w:color w:val="0E101A"/>
        </w:rPr>
        <w:t xml:space="preserve"> grown</w:t>
      </w:r>
      <w:r>
        <w:rPr>
          <w:color w:val="0E101A"/>
        </w:rPr>
        <w:t xml:space="preserve"> for 90 days</w:t>
      </w:r>
      <w:r w:rsidRPr="00BB4B6E">
        <w:rPr>
          <w:color w:val="0E101A"/>
        </w:rPr>
        <w:t xml:space="preserve"> using bone nHA nano-fertilizers with NPK, DAP </w:t>
      </w:r>
      <w:r>
        <w:rPr>
          <w:color w:val="0E101A"/>
        </w:rPr>
        <w:t>encapsulations</w:t>
      </w:r>
      <w:r w:rsidRPr="00BB4B6E">
        <w:rPr>
          <w:color w:val="0E101A"/>
        </w:rPr>
        <w:t>.</w:t>
      </w:r>
    </w:p>
    <w:p w:rsidR="00F934C1" w:rsidRPr="00BB4B6E" w:rsidRDefault="00F934C1" w:rsidP="00F934C1">
      <w:pPr>
        <w:pStyle w:val="NormalWeb"/>
        <w:numPr>
          <w:ilvl w:val="0"/>
          <w:numId w:val="30"/>
        </w:numPr>
        <w:spacing w:line="480" w:lineRule="auto"/>
        <w:rPr>
          <w:color w:val="0E101A"/>
        </w:rPr>
      </w:pPr>
      <w:r w:rsidRPr="00BB4B6E">
        <w:rPr>
          <w:color w:val="0E101A"/>
        </w:rPr>
        <w:t>To assess the 24 hour efficiency of Cd and Pb adsorption by bone nano-fertilizers using Langmuir, Frendlich isotherms and kinetic models batch experiment.</w:t>
      </w:r>
    </w:p>
    <w:p w:rsidR="00F934C1" w:rsidRPr="00BB4B6E" w:rsidRDefault="00F934C1" w:rsidP="00F934C1">
      <w:pPr>
        <w:pStyle w:val="NormalWeb"/>
        <w:numPr>
          <w:ilvl w:val="0"/>
          <w:numId w:val="30"/>
        </w:numPr>
        <w:spacing w:before="0" w:beforeAutospacing="0" w:after="0" w:afterAutospacing="0" w:line="480" w:lineRule="auto"/>
        <w:rPr>
          <w:color w:val="0E101A"/>
        </w:rPr>
      </w:pPr>
      <w:r w:rsidRPr="00BB4B6E">
        <w:rPr>
          <w:color w:val="0E101A"/>
        </w:rPr>
        <w:t>To assess the 40 day efficiency of NO</w:t>
      </w:r>
      <w:r w:rsidRPr="00BB4B6E">
        <w:rPr>
          <w:color w:val="0E101A"/>
          <w:vertAlign w:val="subscript"/>
        </w:rPr>
        <w:t>3</w:t>
      </w:r>
      <w:r w:rsidRPr="00BB4B6E">
        <w:rPr>
          <w:color w:val="0E101A"/>
          <w:vertAlign w:val="superscript"/>
        </w:rPr>
        <w:t>-</w:t>
      </w:r>
      <w:r w:rsidRPr="00BB4B6E">
        <w:rPr>
          <w:color w:val="0E101A"/>
        </w:rPr>
        <w:t>, PO</w:t>
      </w:r>
      <w:r w:rsidRPr="00BB4B6E">
        <w:rPr>
          <w:color w:val="0E101A"/>
          <w:vertAlign w:val="subscript"/>
        </w:rPr>
        <w:t>4</w:t>
      </w:r>
      <w:r w:rsidRPr="00BB4B6E">
        <w:rPr>
          <w:color w:val="0E101A"/>
          <w:vertAlign w:val="superscript"/>
        </w:rPr>
        <w:t>3-</w:t>
      </w:r>
      <w:r w:rsidRPr="00BB4B6E">
        <w:rPr>
          <w:color w:val="0E101A"/>
        </w:rPr>
        <w:t xml:space="preserve"> and K</w:t>
      </w:r>
      <w:r w:rsidRPr="00BB4B6E">
        <w:rPr>
          <w:color w:val="0E101A"/>
          <w:vertAlign w:val="superscript"/>
        </w:rPr>
        <w:t>+</w:t>
      </w:r>
      <w:r w:rsidRPr="00BB4B6E">
        <w:rPr>
          <w:color w:val="0E101A"/>
        </w:rPr>
        <w:t xml:space="preserve"> nutrients release levels by bone </w:t>
      </w:r>
      <w:r>
        <w:rPr>
          <w:color w:val="0E101A"/>
        </w:rPr>
        <w:t xml:space="preserve">nHA </w:t>
      </w:r>
      <w:r w:rsidRPr="00BB4B6E">
        <w:rPr>
          <w:color w:val="0E101A"/>
        </w:rPr>
        <w:t>nano-fertilizers using batch experiment.</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Heading2"/>
      </w:pPr>
      <w:bookmarkStart w:id="54" w:name="_Toc144819998"/>
      <w:r w:rsidRPr="00BB4B6E">
        <w:t xml:space="preserve">1.5 </w:t>
      </w:r>
      <w:r w:rsidRPr="00FF635A">
        <w:t>Significance</w:t>
      </w:r>
      <w:r w:rsidRPr="00BB4B6E">
        <w:t xml:space="preserve"> of the Study</w:t>
      </w:r>
      <w:bookmarkEnd w:id="54"/>
    </w:p>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Results show the effect of hydroxyapatite nano fertilizer synthesized from synthetic and bones on the plant height, number of leaves, leaf diameter and stem diameter on kale, beans, and spinach. Further the findings show the potential of bone nHA to immobilize heavy metals Cd and Pb which is a good attribute for food safety. Suchanek </w:t>
      </w:r>
      <w:r w:rsidRPr="00BB4B6E">
        <w:rPr>
          <w:i/>
          <w:iCs/>
          <w:color w:val="0E101A"/>
        </w:rPr>
        <w:t>et al</w:t>
      </w:r>
      <w:r w:rsidRPr="00BB4B6E">
        <w:rPr>
          <w:color w:val="0E101A"/>
        </w:rPr>
        <w:t xml:space="preserve">. (2019) noted that bones have low biogradability in dumping sites. Hence, use of bone nano fertilizers will also solve the environmental effects of bone dumping as waste and by extension job creation is foreseen for those collecting the bones. Buyukkilic </w:t>
      </w:r>
      <w:r w:rsidRPr="00BB4B6E">
        <w:rPr>
          <w:i/>
          <w:iCs/>
          <w:color w:val="0E101A"/>
        </w:rPr>
        <w:t>et al</w:t>
      </w:r>
      <w:r w:rsidRPr="00BB4B6E">
        <w:rPr>
          <w:color w:val="0E101A"/>
        </w:rPr>
        <w:t>., 2022 noted that 70</w:t>
      </w:r>
      <w:r>
        <w:rPr>
          <w:color w:val="0E101A"/>
        </w:rPr>
        <w:t xml:space="preserve"> </w:t>
      </w:r>
      <w:r w:rsidRPr="00BB4B6E">
        <w:rPr>
          <w:color w:val="0E101A"/>
        </w:rPr>
        <w:t>% of food production relies on commercial fertilizers yet they have negative effects and are expensive. Therefore, bone nanofertilizer can serve about 40 % of phosphatic fertilizer need by farmers in Kenya to reduce on over reliance on commercial fertilizers.</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Heading2"/>
        <w:rPr>
          <w:b w:val="0"/>
        </w:rPr>
      </w:pPr>
      <w:bookmarkStart w:id="55" w:name="_Toc144819999"/>
      <w:r w:rsidRPr="00BB4B6E">
        <w:lastRenderedPageBreak/>
        <w:t>1.6 Scope and Limitation</w:t>
      </w:r>
      <w:bookmarkEnd w:id="55"/>
    </w:p>
    <w:p w:rsidR="00F934C1" w:rsidRPr="00BB4B6E" w:rsidRDefault="00F934C1" w:rsidP="00F934C1">
      <w:pPr>
        <w:pStyle w:val="NormalWeb"/>
        <w:spacing w:before="0" w:beforeAutospacing="0" w:after="0" w:afterAutospacing="0" w:line="480" w:lineRule="auto"/>
        <w:rPr>
          <w:color w:val="0E101A"/>
        </w:rPr>
      </w:pPr>
      <w:r w:rsidRPr="00BB4B6E">
        <w:rPr>
          <w:color w:val="0E101A"/>
        </w:rPr>
        <w:t>In the array of inorganic and organic analytes, the heavy metals Cd and Pb and nutrients NO</w:t>
      </w:r>
      <w:r w:rsidRPr="00BB4B6E">
        <w:rPr>
          <w:color w:val="0E101A"/>
          <w:vertAlign w:val="subscript"/>
        </w:rPr>
        <w:t>3</w:t>
      </w:r>
      <w:r w:rsidRPr="003D3CE4">
        <w:rPr>
          <w:color w:val="0E101A"/>
          <w:vertAlign w:val="superscript"/>
        </w:rPr>
        <w:t>-</w:t>
      </w:r>
      <w:r w:rsidRPr="00BB4B6E">
        <w:rPr>
          <w:color w:val="0E101A"/>
        </w:rPr>
        <w:t>, PO</w:t>
      </w:r>
      <w:r w:rsidRPr="00BB4B6E">
        <w:rPr>
          <w:color w:val="0E101A"/>
          <w:vertAlign w:val="subscript"/>
        </w:rPr>
        <w:t>4</w:t>
      </w:r>
      <w:r w:rsidRPr="00BB4B6E">
        <w:rPr>
          <w:color w:val="0E101A"/>
          <w:vertAlign w:val="superscript"/>
        </w:rPr>
        <w:t>3-</w:t>
      </w:r>
      <w:r w:rsidRPr="00BB4B6E">
        <w:rPr>
          <w:color w:val="0E101A"/>
        </w:rPr>
        <w:t>, and K</w:t>
      </w:r>
      <w:r w:rsidRPr="00BB4B6E">
        <w:rPr>
          <w:color w:val="0E101A"/>
          <w:vertAlign w:val="superscript"/>
        </w:rPr>
        <w:t xml:space="preserve">+ </w:t>
      </w:r>
      <w:r w:rsidRPr="00BB4B6E">
        <w:rPr>
          <w:color w:val="0E101A"/>
        </w:rPr>
        <w:t>were studied, being priority toxic heavy metals and essential nutrients respectively. Any characteristic of the bones including the type or source, which would determine their performance, was not considered in the synthesis of the bone nHA. The study narrowed to carrying out the study using sand loamy soil. Plant growth and nutrient uptake differs among plants. In this study plant height, leaf diameter, number of leaves, number of pods and stem diameter were considered as the growth parameters. The uptake levels of Cd and Pb and growth parameters were investigated on one legume (</w:t>
      </w:r>
      <w:r w:rsidRPr="00BB4B6E">
        <w:rPr>
          <w:rStyle w:val="Emphasis"/>
          <w:rFonts w:eastAsiaTheme="majorEastAsia"/>
          <w:color w:val="0E101A"/>
        </w:rPr>
        <w:t>P. Vulgaris L</w:t>
      </w:r>
      <w:r w:rsidRPr="00BB4B6E">
        <w:rPr>
          <w:color w:val="0E101A"/>
        </w:rPr>
        <w:t>.</w:t>
      </w:r>
      <w:r>
        <w:rPr>
          <w:color w:val="0E101A"/>
        </w:rPr>
        <w:t xml:space="preserve">) and two vegetable crops, </w:t>
      </w:r>
      <w:r w:rsidRPr="00BB4B6E">
        <w:rPr>
          <w:color w:val="0E101A"/>
        </w:rPr>
        <w:t>spinach (</w:t>
      </w:r>
      <w:r w:rsidRPr="00BB4B6E">
        <w:rPr>
          <w:rStyle w:val="Emphasis"/>
          <w:rFonts w:eastAsiaTheme="majorEastAsia"/>
          <w:color w:val="0E101A"/>
        </w:rPr>
        <w:t>Spinacia oleracea</w:t>
      </w:r>
      <w:r w:rsidRPr="00BB4B6E">
        <w:rPr>
          <w:color w:val="0E101A"/>
        </w:rPr>
        <w:t xml:space="preserve">) and </w:t>
      </w:r>
      <w:r w:rsidRPr="00BB4B6E">
        <w:rPr>
          <w:bCs/>
          <w:color w:val="0E101A"/>
        </w:rPr>
        <w:t>kales (</w:t>
      </w:r>
      <w:r w:rsidRPr="00BB4B6E">
        <w:rPr>
          <w:bCs/>
          <w:i/>
          <w:iCs/>
          <w:color w:val="0E101A"/>
        </w:rPr>
        <w:t>Brassica oleracea acephala</w:t>
      </w:r>
      <w:r w:rsidRPr="00BB4B6E">
        <w:rPr>
          <w:color w:val="0E101A"/>
        </w:rPr>
        <w:t>) grown within their maturity period of 30-90 days.</w:t>
      </w:r>
    </w:p>
    <w:p w:rsidR="00F934C1" w:rsidRPr="00BB4B6E" w:rsidRDefault="00F934C1" w:rsidP="00F934C1">
      <w:pPr>
        <w:autoSpaceDE/>
        <w:autoSpaceDN/>
        <w:adjustRightInd/>
        <w:spacing w:after="200" w:line="276" w:lineRule="auto"/>
        <w:jc w:val="left"/>
        <w:rPr>
          <w:rFonts w:eastAsiaTheme="majorEastAsia"/>
          <w:b/>
          <w:bCs/>
          <w:sz w:val="28"/>
          <w:szCs w:val="28"/>
        </w:rPr>
      </w:pPr>
      <w:r w:rsidRPr="00BB4B6E">
        <w:br w:type="page"/>
      </w:r>
    </w:p>
    <w:p w:rsidR="00F934C1" w:rsidRPr="00621E85" w:rsidRDefault="00F934C1" w:rsidP="00F934C1">
      <w:pPr>
        <w:pStyle w:val="Heading1"/>
      </w:pPr>
      <w:bookmarkStart w:id="56" w:name="_Toc144820000"/>
      <w:r w:rsidRPr="00621E85">
        <w:lastRenderedPageBreak/>
        <w:t>CHAPTER TWO</w:t>
      </w:r>
      <w:bookmarkEnd w:id="56"/>
    </w:p>
    <w:p w:rsidR="00F934C1" w:rsidRPr="00621E85" w:rsidRDefault="00F934C1" w:rsidP="00F934C1">
      <w:pPr>
        <w:pStyle w:val="Heading1"/>
      </w:pPr>
      <w:bookmarkStart w:id="57" w:name="_Toc144820001"/>
      <w:r w:rsidRPr="00621E85">
        <w:t>LITERATURE REVIEW</w:t>
      </w:r>
      <w:bookmarkEnd w:id="57"/>
    </w:p>
    <w:p w:rsidR="00F934C1" w:rsidRPr="00BB4B6E" w:rsidRDefault="00F934C1" w:rsidP="00F934C1">
      <w:pPr>
        <w:pStyle w:val="Heading2"/>
      </w:pPr>
      <w:bookmarkStart w:id="58" w:name="_Toc144820002"/>
      <w:r w:rsidRPr="00BB4B6E">
        <w:t xml:space="preserve">2.1 Commercial Fertilizers in Crop </w:t>
      </w:r>
      <w:r w:rsidRPr="00FF635A">
        <w:t>Production</w:t>
      </w:r>
      <w:bookmarkEnd w:id="58"/>
    </w:p>
    <w:p w:rsidR="00F934C1" w:rsidRPr="00BB4B6E" w:rsidRDefault="00F934C1" w:rsidP="00F934C1">
      <w:pPr>
        <w:rPr>
          <w:color w:val="0E101A"/>
        </w:rPr>
      </w:pPr>
      <w:r w:rsidRPr="00BB4B6E">
        <w:rPr>
          <w:color w:val="0E101A"/>
        </w:rPr>
        <w:t xml:space="preserve">Food insecurity is a global concern in the wake of an ever-ballooning population, which is expected to reach over 8 billion between the years 2030 and 2050 (FAO, 2015). The concern is greater in developing countries for example in Kenya where about 32 % of her population is affected especially those in arid and semi-arid counties (FAO, 2015; Willer and Lernoud, 2015). One common approach to address the concern is the use of commercial fertilizers, and it is deduced that 30 % of crop production is as a result of their use. Other approaches include the growing of high-yielding crops, growing of fast-maturing and fertilizer responsive crops (El-Feky </w:t>
      </w:r>
      <w:r w:rsidRPr="00BB4B6E">
        <w:rPr>
          <w:i/>
          <w:iCs/>
          <w:color w:val="0E101A"/>
        </w:rPr>
        <w:t>et al</w:t>
      </w:r>
      <w:r w:rsidRPr="00BB4B6E">
        <w:rPr>
          <w:color w:val="0E101A"/>
        </w:rPr>
        <w:t>., 2013). However, due to scarce fertile arable land, this leads to over tillage of food crops hence depleting soil nutrients, leading to poor yields which may require alternative fertilizers.</w:t>
      </w:r>
    </w:p>
    <w:p w:rsidR="00F934C1" w:rsidRPr="00BB4B6E" w:rsidRDefault="00F934C1" w:rsidP="00F934C1">
      <w:pPr>
        <w:rPr>
          <w:color w:val="0E101A"/>
        </w:rPr>
      </w:pPr>
    </w:p>
    <w:p w:rsidR="00F934C1" w:rsidRPr="00BB4B6E" w:rsidRDefault="00F934C1" w:rsidP="00F934C1">
      <w:pPr>
        <w:rPr>
          <w:color w:val="0E101A"/>
        </w:rPr>
      </w:pPr>
      <w:r w:rsidRPr="00BB4B6E">
        <w:rPr>
          <w:color w:val="0E101A"/>
        </w:rPr>
        <w:t xml:space="preserve">Intensive farming practices are attributed to account 40 % of land degradation, leading to a severe loss of soil nutrients (Srivastava </w:t>
      </w:r>
      <w:r w:rsidRPr="00BB4B6E">
        <w:rPr>
          <w:i/>
          <w:iCs/>
          <w:color w:val="0E101A"/>
        </w:rPr>
        <w:t>et al</w:t>
      </w:r>
      <w:r w:rsidRPr="00BB4B6E">
        <w:rPr>
          <w:color w:val="0E101A"/>
        </w:rPr>
        <w:t xml:space="preserve">., 2014; Prasad </w:t>
      </w:r>
      <w:r w:rsidRPr="00BB4B6E">
        <w:rPr>
          <w:i/>
          <w:iCs/>
          <w:color w:val="0E101A"/>
        </w:rPr>
        <w:t>et al</w:t>
      </w:r>
      <w:r w:rsidRPr="00BB4B6E">
        <w:rPr>
          <w:color w:val="0E101A"/>
        </w:rPr>
        <w:t xml:space="preserve">., 2012; Nilwala </w:t>
      </w:r>
      <w:r w:rsidRPr="00BB4B6E">
        <w:rPr>
          <w:i/>
          <w:iCs/>
          <w:color w:val="0E101A"/>
        </w:rPr>
        <w:t>et al</w:t>
      </w:r>
      <w:r w:rsidRPr="00BB4B6E">
        <w:rPr>
          <w:color w:val="0E101A"/>
        </w:rPr>
        <w:t>., 2011). The deficiency of macronutrients like NO</w:t>
      </w:r>
      <w:r w:rsidRPr="00BB4B6E">
        <w:rPr>
          <w:color w:val="0E101A"/>
          <w:vertAlign w:val="subscript"/>
        </w:rPr>
        <w:t>3</w:t>
      </w:r>
      <w:r w:rsidRPr="00BB4B6E">
        <w:rPr>
          <w:color w:val="0E101A"/>
          <w:vertAlign w:val="superscript"/>
        </w:rPr>
        <w:t>-</w:t>
      </w:r>
      <w:r w:rsidRPr="00BB4B6E">
        <w:rPr>
          <w:color w:val="0E101A"/>
        </w:rPr>
        <w:t>, PO</w:t>
      </w:r>
      <w:r w:rsidRPr="00BB4B6E">
        <w:rPr>
          <w:color w:val="0E101A"/>
          <w:vertAlign w:val="subscript"/>
        </w:rPr>
        <w:t>4</w:t>
      </w:r>
      <w:r w:rsidRPr="00BB4B6E">
        <w:rPr>
          <w:color w:val="0E101A"/>
          <w:vertAlign w:val="superscript"/>
        </w:rPr>
        <w:t>3-</w:t>
      </w:r>
      <w:r w:rsidRPr="00BB4B6E">
        <w:rPr>
          <w:color w:val="0E101A"/>
        </w:rPr>
        <w:t xml:space="preserve"> and K</w:t>
      </w:r>
      <w:r w:rsidRPr="00BB4B6E">
        <w:rPr>
          <w:color w:val="0E101A"/>
          <w:vertAlign w:val="superscript"/>
        </w:rPr>
        <w:t xml:space="preserve">+ </w:t>
      </w:r>
      <w:r w:rsidRPr="00BB4B6E">
        <w:rPr>
          <w:color w:val="0E101A"/>
        </w:rPr>
        <w:t xml:space="preserve">in crops not only affects the crop productivity but also human health by consumption of foods deficient of essential micronutrient. For example, phosphorus deficiency in consumed food causes human growth impairment, weak bones, and decreased cognitive performance in humans (Kole </w:t>
      </w:r>
      <w:r w:rsidRPr="00BB4B6E">
        <w:rPr>
          <w:i/>
          <w:iCs/>
          <w:color w:val="0E101A"/>
        </w:rPr>
        <w:t>et al</w:t>
      </w:r>
      <w:r w:rsidRPr="00BB4B6E">
        <w:rPr>
          <w:color w:val="0E101A"/>
        </w:rPr>
        <w:t>., 2013).</w:t>
      </w:r>
    </w:p>
    <w:p w:rsidR="00F934C1" w:rsidRPr="00BB4B6E" w:rsidRDefault="00F934C1" w:rsidP="00F934C1">
      <w:pPr>
        <w:rPr>
          <w:color w:val="0E101A"/>
        </w:rPr>
      </w:pPr>
    </w:p>
    <w:p w:rsidR="00F934C1" w:rsidRPr="00BB4B6E" w:rsidRDefault="00F934C1" w:rsidP="00273AE8">
      <w:pPr>
        <w:pStyle w:val="NormalWeb"/>
        <w:spacing w:before="0" w:beforeAutospacing="0" w:after="0" w:afterAutospacing="0" w:line="480" w:lineRule="auto"/>
        <w:rPr>
          <w:color w:val="0E101A"/>
        </w:rPr>
      </w:pPr>
      <w:r w:rsidRPr="00BB4B6E">
        <w:rPr>
          <w:color w:val="0E101A"/>
        </w:rPr>
        <w:lastRenderedPageBreak/>
        <w:t xml:space="preserve">The major shortcomings of over reliance on use of commercial fertilizer include leaching and reaction with soil moisture (for fertilizer like urea) to form ammonium carbonate. While the former makes nutrients unavailable to crop roots, the latter can cause loss of the nutrient to the atmosphere in form of ammonia gas (Das </w:t>
      </w:r>
      <w:r w:rsidRPr="00BB4B6E">
        <w:rPr>
          <w:i/>
          <w:color w:val="0E101A"/>
        </w:rPr>
        <w:t>et al</w:t>
      </w:r>
      <w:r w:rsidRPr="00BB4B6E">
        <w:rPr>
          <w:color w:val="0E101A"/>
        </w:rPr>
        <w:t xml:space="preserve">., 2016; Cai </w:t>
      </w:r>
      <w:r w:rsidRPr="00BB4B6E">
        <w:rPr>
          <w:i/>
          <w:iCs/>
          <w:color w:val="0E101A"/>
        </w:rPr>
        <w:t>et al</w:t>
      </w:r>
      <w:r w:rsidRPr="00BB4B6E">
        <w:rPr>
          <w:color w:val="0E101A"/>
        </w:rPr>
        <w:t xml:space="preserve">., 2014). The loss of nitrates due to draining out of urea nutrients much deeper in the soil which is out of reach to the plant roots contributes to 90 % of nutrient loss (Das </w:t>
      </w:r>
      <w:r w:rsidRPr="00BB4B6E">
        <w:rPr>
          <w:i/>
          <w:color w:val="0E101A"/>
        </w:rPr>
        <w:t>et al</w:t>
      </w:r>
      <w:r w:rsidRPr="00BB4B6E">
        <w:rPr>
          <w:color w:val="0E101A"/>
        </w:rPr>
        <w:t xml:space="preserve">., 2016). This has called for nano-technological strategies in nano-fertilizer manufacturing for slower and gradual release of nutrient, pesticides and herbicides (Ahmed, 2018, Cui </w:t>
      </w:r>
      <w:r w:rsidRPr="00BB4B6E">
        <w:rPr>
          <w:rStyle w:val="Emphasis"/>
          <w:rFonts w:eastAsiaTheme="majorEastAsia"/>
          <w:color w:val="0E101A"/>
        </w:rPr>
        <w:t>et al</w:t>
      </w:r>
      <w:r w:rsidRPr="00BB4B6E">
        <w:rPr>
          <w:color w:val="0E101A"/>
        </w:rPr>
        <w:t xml:space="preserve">., 2010). Thus nanotechnology is vital in development and promoting the use of environmentally friendly and sustainable agricultural inputs (Raliya </w:t>
      </w:r>
      <w:r w:rsidRPr="00BB4B6E">
        <w:rPr>
          <w:i/>
          <w:iCs/>
          <w:color w:val="0E101A"/>
        </w:rPr>
        <w:t>et al</w:t>
      </w:r>
      <w:r w:rsidRPr="00BB4B6E">
        <w:rPr>
          <w:color w:val="0E101A"/>
        </w:rPr>
        <w:t xml:space="preserve">., 2015; Prasad </w:t>
      </w:r>
      <w:r w:rsidRPr="00BB4B6E">
        <w:rPr>
          <w:i/>
          <w:iCs/>
          <w:color w:val="0E101A"/>
        </w:rPr>
        <w:t>et al</w:t>
      </w:r>
      <w:r w:rsidRPr="00BB4B6E">
        <w:rPr>
          <w:color w:val="0E101A"/>
        </w:rPr>
        <w:t>., 2012).</w:t>
      </w:r>
    </w:p>
    <w:p w:rsidR="00F934C1" w:rsidRPr="00BB4B6E" w:rsidRDefault="00F934C1" w:rsidP="00273AE8">
      <w:pPr>
        <w:pStyle w:val="NormalWeb"/>
        <w:spacing w:before="0" w:beforeAutospacing="0" w:after="0" w:afterAutospacing="0" w:line="480" w:lineRule="auto"/>
        <w:rPr>
          <w:color w:val="0E101A"/>
        </w:rPr>
      </w:pPr>
    </w:p>
    <w:p w:rsidR="00F934C1" w:rsidRPr="00BB4B6E" w:rsidRDefault="00F934C1" w:rsidP="00273AE8">
      <w:pPr>
        <w:pStyle w:val="Heading2"/>
        <w:spacing w:before="0"/>
      </w:pPr>
      <w:bookmarkStart w:id="59" w:name="_Toc144820003"/>
      <w:r w:rsidRPr="00BB4B6E">
        <w:t xml:space="preserve">2.2 </w:t>
      </w:r>
      <w:r w:rsidRPr="00FF635A">
        <w:t>Nano</w:t>
      </w:r>
      <w:r w:rsidRPr="00BB4B6E">
        <w:t>-fertilizers</w:t>
      </w:r>
      <w:bookmarkEnd w:id="59"/>
    </w:p>
    <w:p w:rsidR="00F934C1" w:rsidRPr="00BB4B6E" w:rsidRDefault="00F934C1" w:rsidP="00F934C1">
      <w:pPr>
        <w:rPr>
          <w:color w:val="0E101A"/>
        </w:rPr>
      </w:pPr>
      <w:r w:rsidRPr="00BB4B6E">
        <w:rPr>
          <w:color w:val="0E101A"/>
        </w:rPr>
        <w:t>Nano-fertilizer is a substance that uses nanotechnology to incorporate nutrients in nanoparticles to regulate rate of nutrient release to plants (</w:t>
      </w:r>
      <w:r w:rsidRPr="00BB4B6E">
        <w:rPr>
          <w:noProof/>
        </w:rPr>
        <w:t xml:space="preserve">Davarpanah </w:t>
      </w:r>
      <w:r w:rsidRPr="00BB4B6E">
        <w:rPr>
          <w:i/>
          <w:iCs/>
          <w:color w:val="0E101A"/>
        </w:rPr>
        <w:t>et al</w:t>
      </w:r>
      <w:r w:rsidRPr="00BB4B6E">
        <w:rPr>
          <w:color w:val="0E101A"/>
        </w:rPr>
        <w:t xml:space="preserve">., 2016; Ma </w:t>
      </w:r>
      <w:r w:rsidRPr="00BB4B6E">
        <w:rPr>
          <w:i/>
          <w:iCs/>
          <w:color w:val="0E101A"/>
        </w:rPr>
        <w:t>et al</w:t>
      </w:r>
      <w:r w:rsidRPr="00BB4B6E">
        <w:rPr>
          <w:color w:val="0E101A"/>
        </w:rPr>
        <w:t xml:space="preserve">., 2013). Nanoparticles can be made from adsorbents like zeolites, cow manure, apatites, and hydroxyapatites that have been developed in recent studies to immobilize Cd and Pb (Ngorwe </w:t>
      </w:r>
      <w:r w:rsidRPr="00BB4B6E">
        <w:rPr>
          <w:i/>
          <w:iCs/>
          <w:color w:val="0E101A"/>
        </w:rPr>
        <w:t>et al</w:t>
      </w:r>
      <w:r w:rsidRPr="00BB4B6E">
        <w:rPr>
          <w:color w:val="0E101A"/>
        </w:rPr>
        <w:t xml:space="preserve">., 2014; Nilwala </w:t>
      </w:r>
      <w:r w:rsidRPr="00BB4B6E">
        <w:rPr>
          <w:i/>
          <w:iCs/>
          <w:color w:val="0E101A"/>
        </w:rPr>
        <w:t>et al</w:t>
      </w:r>
      <w:r w:rsidRPr="00BB4B6E">
        <w:rPr>
          <w:color w:val="0E101A"/>
        </w:rPr>
        <w:t xml:space="preserve">., 2011). In addition, zeolites nanoparticles have been used for the controlled release of growth enhancers. Ma </w:t>
      </w:r>
      <w:r w:rsidRPr="00BB4B6E">
        <w:rPr>
          <w:i/>
          <w:iCs/>
          <w:color w:val="0E101A"/>
        </w:rPr>
        <w:t>et al</w:t>
      </w:r>
      <w:r w:rsidRPr="00BB4B6E">
        <w:rPr>
          <w:color w:val="0E101A"/>
        </w:rPr>
        <w:t>. (2013) showed that the use of nitrogenous, potassium and phosphatic nano-fertilizers, in grain crops increases micronutrients and amino acids uptake and regulates the NO</w:t>
      </w:r>
      <w:r w:rsidRPr="00BB4B6E">
        <w:rPr>
          <w:color w:val="0E101A"/>
          <w:vertAlign w:val="subscript"/>
        </w:rPr>
        <w:t>3</w:t>
      </w:r>
      <w:r w:rsidRPr="00BB4B6E">
        <w:rPr>
          <w:color w:val="0E101A"/>
          <w:vertAlign w:val="superscript"/>
        </w:rPr>
        <w:t>-</w:t>
      </w:r>
      <w:r w:rsidRPr="00BB4B6E">
        <w:rPr>
          <w:color w:val="0E101A"/>
        </w:rPr>
        <w:t>, PO</w:t>
      </w:r>
      <w:r w:rsidRPr="00BB4B6E">
        <w:rPr>
          <w:color w:val="0E101A"/>
          <w:vertAlign w:val="subscript"/>
        </w:rPr>
        <w:t>4</w:t>
      </w:r>
      <w:r w:rsidRPr="00BB4B6E">
        <w:rPr>
          <w:color w:val="0E101A"/>
          <w:vertAlign w:val="superscript"/>
        </w:rPr>
        <w:t>3-</w:t>
      </w:r>
      <w:r w:rsidRPr="00BB4B6E">
        <w:rPr>
          <w:color w:val="0E101A"/>
        </w:rPr>
        <w:t>release rate.</w:t>
      </w:r>
    </w:p>
    <w:p w:rsidR="00F934C1" w:rsidRPr="00BB4B6E" w:rsidRDefault="00F934C1" w:rsidP="00F934C1">
      <w:pPr>
        <w:rPr>
          <w:color w:val="0E101A"/>
        </w:rPr>
      </w:pPr>
    </w:p>
    <w:p w:rsidR="00F934C1" w:rsidRPr="00BB4B6E" w:rsidRDefault="00F934C1" w:rsidP="00F934C1">
      <w:pPr>
        <w:rPr>
          <w:color w:val="0E101A"/>
        </w:rPr>
      </w:pPr>
      <w:r w:rsidRPr="00BB4B6E">
        <w:rPr>
          <w:color w:val="0E101A"/>
        </w:rPr>
        <w:t xml:space="preserve">The unique properties of nanoparticles like increased number of adsorption sites and selective adsorption of some essential substances has been found essential for slower </w:t>
      </w:r>
      <w:r w:rsidRPr="00BB4B6E">
        <w:rPr>
          <w:color w:val="0E101A"/>
        </w:rPr>
        <w:lastRenderedPageBreak/>
        <w:t xml:space="preserve">and controlled delivery of drugs to patients (Giroto </w:t>
      </w:r>
      <w:r w:rsidRPr="00BB4B6E">
        <w:rPr>
          <w:i/>
          <w:color w:val="0E101A"/>
        </w:rPr>
        <w:t>et al</w:t>
      </w:r>
      <w:r w:rsidRPr="00BB4B6E">
        <w:rPr>
          <w:color w:val="0E101A"/>
        </w:rPr>
        <w:t xml:space="preserve">., 2015) and nutrients (Konate </w:t>
      </w:r>
      <w:r w:rsidRPr="00BB4B6E">
        <w:rPr>
          <w:i/>
          <w:iCs/>
          <w:color w:val="0E101A"/>
        </w:rPr>
        <w:t>et al</w:t>
      </w:r>
      <w:r w:rsidRPr="00BB4B6E">
        <w:rPr>
          <w:color w:val="0E101A"/>
        </w:rPr>
        <w:t>., 2014) to crops in the fields of medicine and agriculture respectively. Nanoparticles made from bone have been found to have more stable adsorption sites than synthetic nanoparticles of hydroxyapatites</w:t>
      </w:r>
      <w:r>
        <w:rPr>
          <w:color w:val="0E101A"/>
        </w:rPr>
        <w:t xml:space="preserve"> made by chemical precipitation.</w:t>
      </w:r>
      <w:r w:rsidRPr="00BB4B6E">
        <w:rPr>
          <w:color w:val="0E101A"/>
        </w:rPr>
        <w:t xml:space="preserve"> Hence in the agricultural sector; </w:t>
      </w:r>
      <w:r>
        <w:rPr>
          <w:color w:val="0E101A"/>
        </w:rPr>
        <w:t>bone nHA</w:t>
      </w:r>
      <w:r w:rsidRPr="00BB4B6E">
        <w:rPr>
          <w:color w:val="0E101A"/>
        </w:rPr>
        <w:t xml:space="preserve"> are likely to have more gradual release of nutrients</w:t>
      </w:r>
      <w:r>
        <w:rPr>
          <w:color w:val="0E101A"/>
        </w:rPr>
        <w:t xml:space="preserve"> to crop</w:t>
      </w:r>
      <w:r w:rsidRPr="00BB4B6E">
        <w:rPr>
          <w:color w:val="0E101A"/>
        </w:rPr>
        <w:t xml:space="preserve"> (Tarafdar </w:t>
      </w:r>
      <w:r w:rsidRPr="00BB4B6E">
        <w:rPr>
          <w:i/>
          <w:iCs/>
          <w:color w:val="0E101A"/>
        </w:rPr>
        <w:t>et al</w:t>
      </w:r>
      <w:r w:rsidRPr="00BB4B6E">
        <w:rPr>
          <w:color w:val="0E101A"/>
        </w:rPr>
        <w:t>., 2014).</w:t>
      </w:r>
    </w:p>
    <w:p w:rsidR="00F934C1" w:rsidRPr="00BB4B6E" w:rsidRDefault="00F934C1" w:rsidP="00F934C1">
      <w:pPr>
        <w:rPr>
          <w:color w:val="0E101A"/>
        </w:rPr>
      </w:pPr>
    </w:p>
    <w:p w:rsidR="00F934C1" w:rsidRPr="00BB4B6E" w:rsidRDefault="00F934C1" w:rsidP="00273AE8">
      <w:pPr>
        <w:rPr>
          <w:color w:val="0E101A"/>
        </w:rPr>
      </w:pPr>
      <w:r w:rsidRPr="00BB4B6E">
        <w:rPr>
          <w:color w:val="0E101A"/>
        </w:rPr>
        <w:t xml:space="preserve">Commercial fertilizer encapsulation within the nanoparticle has been invented in nanotechnology and can be done in three methods (Suchanek </w:t>
      </w:r>
      <w:r w:rsidRPr="00BB4B6E">
        <w:rPr>
          <w:i/>
          <w:color w:val="0E101A"/>
        </w:rPr>
        <w:t>et al</w:t>
      </w:r>
      <w:r w:rsidRPr="00BB4B6E">
        <w:rPr>
          <w:color w:val="0E101A"/>
        </w:rPr>
        <w:t xml:space="preserve">., 2019; Ma </w:t>
      </w:r>
      <w:r w:rsidRPr="00BB4B6E">
        <w:rPr>
          <w:i/>
          <w:color w:val="0E101A"/>
        </w:rPr>
        <w:t>et al</w:t>
      </w:r>
      <w:r w:rsidRPr="00BB4B6E">
        <w:rPr>
          <w:color w:val="0E101A"/>
        </w:rPr>
        <w:t xml:space="preserve">., 2013). Firstly, is through nutrient encapsulation inside a nano-porous material for a more controlled release to the crop. In a study by Ma </w:t>
      </w:r>
      <w:r w:rsidRPr="00BB4B6E">
        <w:rPr>
          <w:i/>
          <w:color w:val="0E101A"/>
        </w:rPr>
        <w:t>et al</w:t>
      </w:r>
      <w:r w:rsidRPr="00BB4B6E">
        <w:rPr>
          <w:color w:val="0E101A"/>
        </w:rPr>
        <w:t xml:space="preserve">., 2013, urea encapsulated in carbon nano-tubes was used to improve maize seed yield by 31.2 %. Secondly, coating nanoparticles with nutrient enriched thin polymer film to guarantee gradual and sustainable release of nutrients to crops (Suchanek </w:t>
      </w:r>
      <w:r w:rsidRPr="00BB4B6E">
        <w:rPr>
          <w:i/>
          <w:color w:val="0E101A"/>
        </w:rPr>
        <w:t>et al</w:t>
      </w:r>
      <w:r w:rsidRPr="00BB4B6E">
        <w:rPr>
          <w:color w:val="0E101A"/>
        </w:rPr>
        <w:t>., 2019). Thirdly, spraying commercial fertilizer in form of particles or emulsions to nanoparticles to form nano-fertilizers thereby regulate the nutrient release. Therefore nitrates (NO</w:t>
      </w:r>
      <w:r w:rsidRPr="00BB4B6E">
        <w:rPr>
          <w:color w:val="0E101A"/>
          <w:vertAlign w:val="subscript"/>
        </w:rPr>
        <w:t>3</w:t>
      </w:r>
      <w:r w:rsidRPr="00BB4B6E">
        <w:rPr>
          <w:color w:val="0E101A"/>
          <w:vertAlign w:val="superscript"/>
        </w:rPr>
        <w:t>-</w:t>
      </w:r>
      <w:r w:rsidRPr="00BB4B6E">
        <w:rPr>
          <w:color w:val="0E101A"/>
        </w:rPr>
        <w:t>), and phosphates (PO</w:t>
      </w:r>
      <w:r w:rsidRPr="00BB4B6E">
        <w:rPr>
          <w:color w:val="0E101A"/>
          <w:vertAlign w:val="subscript"/>
        </w:rPr>
        <w:t>4</w:t>
      </w:r>
      <w:r w:rsidRPr="00BB4B6E">
        <w:rPr>
          <w:color w:val="0E101A"/>
          <w:vertAlign w:val="superscript"/>
        </w:rPr>
        <w:t>3-</w:t>
      </w:r>
      <w:r w:rsidRPr="00BB4B6E">
        <w:rPr>
          <w:color w:val="0E101A"/>
        </w:rPr>
        <w:t xml:space="preserve">) release and eventual uptake by the plants is regulated, thereby preventing undesirable nutrient lose pathways like soil, water, air and weeds (Giraldo </w:t>
      </w:r>
      <w:r w:rsidRPr="00BB4B6E">
        <w:rPr>
          <w:i/>
          <w:iCs/>
          <w:color w:val="0E101A"/>
        </w:rPr>
        <w:t>et al</w:t>
      </w:r>
      <w:r w:rsidRPr="00BB4B6E">
        <w:rPr>
          <w:color w:val="0E101A"/>
        </w:rPr>
        <w:t xml:space="preserve">., 2014; Ma </w:t>
      </w:r>
      <w:r w:rsidRPr="00BB4B6E">
        <w:rPr>
          <w:i/>
          <w:iCs/>
          <w:color w:val="0E101A"/>
        </w:rPr>
        <w:t>et al</w:t>
      </w:r>
      <w:r w:rsidRPr="00BB4B6E">
        <w:rPr>
          <w:color w:val="0E101A"/>
        </w:rPr>
        <w:t xml:space="preserve">., 2013; DeRosa </w:t>
      </w:r>
      <w:r w:rsidRPr="00BB4B6E">
        <w:rPr>
          <w:i/>
          <w:iCs/>
          <w:color w:val="0E101A"/>
        </w:rPr>
        <w:t>et al</w:t>
      </w:r>
      <w:r w:rsidRPr="00BB4B6E">
        <w:rPr>
          <w:color w:val="0E101A"/>
        </w:rPr>
        <w:t>., 2010).</w:t>
      </w:r>
    </w:p>
    <w:p w:rsidR="00F934C1" w:rsidRPr="00BB4B6E" w:rsidRDefault="00F934C1" w:rsidP="00273AE8"/>
    <w:p w:rsidR="00F934C1" w:rsidRPr="00BB4B6E" w:rsidRDefault="00F934C1" w:rsidP="00273AE8">
      <w:pPr>
        <w:pStyle w:val="Heading2"/>
        <w:spacing w:before="0"/>
      </w:pPr>
      <w:bookmarkStart w:id="60" w:name="_Toc144820004"/>
      <w:bookmarkStart w:id="61" w:name="_Hlk100671899"/>
      <w:r w:rsidRPr="00BB4B6E">
        <w:t xml:space="preserve">2.3 Effects of </w:t>
      </w:r>
      <w:r w:rsidRPr="00FF635A">
        <w:t>Nano</w:t>
      </w:r>
      <w:r w:rsidRPr="00BB4B6E">
        <w:t xml:space="preserve"> fertilizer on Cd and Pb Uptake</w:t>
      </w:r>
      <w:bookmarkEnd w:id="60"/>
    </w:p>
    <w:p w:rsidR="00F934C1" w:rsidRPr="00BB4B6E" w:rsidRDefault="00F934C1" w:rsidP="00F934C1">
      <w:pPr>
        <w:pStyle w:val="NormalWeb"/>
        <w:spacing w:before="0" w:beforeAutospacing="0" w:after="0" w:afterAutospacing="0" w:line="480" w:lineRule="auto"/>
      </w:pPr>
      <w:r w:rsidRPr="00BB4B6E">
        <w:rPr>
          <w:color w:val="0E101A"/>
        </w:rPr>
        <w:t xml:space="preserve">For decades adsorbents have been used to immobilize some heavy metals like Cd and Pb to minimize their eventual uptake in plants (Rizwan </w:t>
      </w:r>
      <w:r w:rsidRPr="00BB4B6E">
        <w:rPr>
          <w:rStyle w:val="Emphasis"/>
          <w:rFonts w:eastAsiaTheme="majorEastAsia"/>
          <w:color w:val="0E101A"/>
        </w:rPr>
        <w:t>et al</w:t>
      </w:r>
      <w:r w:rsidRPr="00BB4B6E">
        <w:rPr>
          <w:color w:val="0E101A"/>
        </w:rPr>
        <w:t xml:space="preserve">., 2017; Musico </w:t>
      </w:r>
      <w:r w:rsidRPr="00BB4B6E">
        <w:rPr>
          <w:i/>
          <w:color w:val="0E101A"/>
        </w:rPr>
        <w:t>et al</w:t>
      </w:r>
      <w:r w:rsidRPr="00BB4B6E">
        <w:rPr>
          <w:color w:val="0E101A"/>
        </w:rPr>
        <w:t>., 2013). Among the inorganic adsorbents that have been used to immobilize Cd include</w:t>
      </w:r>
      <w:r>
        <w:rPr>
          <w:color w:val="0E101A"/>
        </w:rPr>
        <w:t>,</w:t>
      </w:r>
      <w:r w:rsidRPr="00BB4B6E">
        <w:rPr>
          <w:color w:val="0E101A"/>
        </w:rPr>
        <w:t xml:space="preserve"> rock salt, apatite, biochar, hydroxyapatite (HA), zinc oxide, iron (III) oxide </w:t>
      </w:r>
      <w:r w:rsidRPr="00BB4B6E">
        <w:rPr>
          <w:color w:val="0E101A"/>
        </w:rPr>
        <w:lastRenderedPageBreak/>
        <w:t xml:space="preserve">and manganese (IV) oxide (Sun </w:t>
      </w:r>
      <w:r w:rsidRPr="00BB4B6E">
        <w:rPr>
          <w:i/>
          <w:color w:val="0E101A"/>
        </w:rPr>
        <w:t>et al</w:t>
      </w:r>
      <w:r w:rsidRPr="00BB4B6E">
        <w:rPr>
          <w:color w:val="0E101A"/>
        </w:rPr>
        <w:t xml:space="preserve">., 2020; Zahra </w:t>
      </w:r>
      <w:r w:rsidRPr="00BB4B6E">
        <w:rPr>
          <w:rStyle w:val="Emphasis"/>
          <w:rFonts w:eastAsiaTheme="majorEastAsia"/>
          <w:color w:val="0E101A"/>
        </w:rPr>
        <w:t>et al</w:t>
      </w:r>
      <w:r w:rsidRPr="00BB4B6E">
        <w:rPr>
          <w:color w:val="0E101A"/>
        </w:rPr>
        <w:t xml:space="preserve">., 2019; Zhangwei </w:t>
      </w:r>
      <w:r w:rsidRPr="00BB4B6E">
        <w:rPr>
          <w:rStyle w:val="Emphasis"/>
          <w:rFonts w:eastAsiaTheme="majorEastAsia"/>
          <w:color w:val="0E101A"/>
        </w:rPr>
        <w:t>et al</w:t>
      </w:r>
      <w:r w:rsidRPr="00BB4B6E">
        <w:rPr>
          <w:color w:val="0E101A"/>
        </w:rPr>
        <w:t xml:space="preserve">., 2019). Research by Sun </w:t>
      </w:r>
      <w:r w:rsidRPr="00BB4B6E">
        <w:rPr>
          <w:i/>
          <w:color w:val="0E101A"/>
        </w:rPr>
        <w:t>et al</w:t>
      </w:r>
      <w:r w:rsidRPr="00BB4B6E">
        <w:rPr>
          <w:color w:val="0E101A"/>
        </w:rPr>
        <w:t>. (2020), explored biochar nanoparticles in Cd</w:t>
      </w:r>
      <w:r w:rsidRPr="00BB4B6E">
        <w:rPr>
          <w:color w:val="0E101A"/>
          <w:vertAlign w:val="superscript"/>
        </w:rPr>
        <w:t>2+</w:t>
      </w:r>
      <w:r w:rsidRPr="00BB4B6E">
        <w:rPr>
          <w:color w:val="0E101A"/>
        </w:rPr>
        <w:t xml:space="preserve"> adsorption, whereby efficiency of the biochar increased due to nanoparticle having larger exposed surface area to volume ratio. Zahra </w:t>
      </w:r>
      <w:r w:rsidRPr="00BB4B6E">
        <w:rPr>
          <w:i/>
          <w:color w:val="0E101A"/>
        </w:rPr>
        <w:t>et al.</w:t>
      </w:r>
      <w:r w:rsidRPr="00BB4B6E">
        <w:rPr>
          <w:color w:val="0E101A"/>
        </w:rPr>
        <w:t xml:space="preserve"> (2019) investigated reduction of Cd uptake in wheat using ZnO nanoparticles with the results indicating Cd uptake reduced by 80.1 % while Zhangwei </w:t>
      </w:r>
      <w:r w:rsidRPr="00BB4B6E">
        <w:rPr>
          <w:i/>
          <w:color w:val="0E101A"/>
        </w:rPr>
        <w:t>et al</w:t>
      </w:r>
      <w:r w:rsidRPr="00BB4B6E">
        <w:rPr>
          <w:color w:val="0E101A"/>
        </w:rPr>
        <w:t>. (2019) used synthetic nHA nanoparticles to reduce Pb</w:t>
      </w:r>
      <w:r w:rsidRPr="00BB4B6E">
        <w:rPr>
          <w:color w:val="0E101A"/>
          <w:vertAlign w:val="superscript"/>
        </w:rPr>
        <w:t xml:space="preserve">2+ </w:t>
      </w:r>
      <w:r w:rsidRPr="00BB4B6E">
        <w:rPr>
          <w:color w:val="0E101A"/>
        </w:rPr>
        <w:t>uptake in soy bean by 58.1 %.</w:t>
      </w:r>
    </w:p>
    <w:p w:rsidR="00F934C1" w:rsidRPr="00BB4B6E" w:rsidRDefault="00F934C1" w:rsidP="00F934C1">
      <w:pPr>
        <w:rPr>
          <w:color w:val="0E101A"/>
        </w:rPr>
      </w:pPr>
    </w:p>
    <w:p w:rsidR="00F934C1" w:rsidRPr="00BB4B6E" w:rsidRDefault="00F934C1" w:rsidP="00F934C1">
      <w:pPr>
        <w:pStyle w:val="NormalWeb"/>
        <w:spacing w:before="0" w:beforeAutospacing="0" w:after="0" w:afterAutospacing="0" w:line="480" w:lineRule="auto"/>
      </w:pPr>
      <w:bookmarkStart w:id="62" w:name="_Hlk94700319"/>
      <w:r w:rsidRPr="00BB4B6E">
        <w:t>The efficiency of SiO</w:t>
      </w:r>
      <w:r w:rsidRPr="00BB4B6E">
        <w:rPr>
          <w:vertAlign w:val="subscript"/>
        </w:rPr>
        <w:t>2</w:t>
      </w:r>
      <w:r w:rsidRPr="00BB4B6E">
        <w:t xml:space="preserve"> nanoparticles to reduce Cd in </w:t>
      </w:r>
      <w:r w:rsidRPr="00BB4B6E">
        <w:rPr>
          <w:noProof/>
        </w:rPr>
        <w:t xml:space="preserve">Pennisetum Species </w:t>
      </w:r>
      <w:r w:rsidRPr="00BB4B6E">
        <w:t xml:space="preserve">(Dong </w:t>
      </w:r>
      <w:r w:rsidRPr="00BB4B6E">
        <w:rPr>
          <w:i/>
        </w:rPr>
        <w:t>et al</w:t>
      </w:r>
      <w:r w:rsidRPr="00BB4B6E">
        <w:t>. (2019)</w:t>
      </w:r>
      <w:r>
        <w:t>)</w:t>
      </w:r>
      <w:r w:rsidRPr="00BB4B6E">
        <w:t xml:space="preserve"> and wheat (Naeem </w:t>
      </w:r>
      <w:r w:rsidRPr="00BB4B6E">
        <w:rPr>
          <w:i/>
        </w:rPr>
        <w:t>et al</w:t>
      </w:r>
      <w:r w:rsidRPr="00BB4B6E">
        <w:t>. (2018)</w:t>
      </w:r>
      <w:r>
        <w:t>)</w:t>
      </w:r>
      <w:r w:rsidRPr="00BB4B6E">
        <w:t xml:space="preserve"> have already been investigated. The study by Dong </w:t>
      </w:r>
      <w:r w:rsidRPr="00BB4B6E">
        <w:rPr>
          <w:i/>
        </w:rPr>
        <w:t>et al</w:t>
      </w:r>
      <w:r w:rsidRPr="00BB4B6E">
        <w:t>. (2019) varied nanoparticle dosage so that SiO</w:t>
      </w:r>
      <w:r w:rsidRPr="00BB4B6E">
        <w:rPr>
          <w:vertAlign w:val="subscript"/>
        </w:rPr>
        <w:t xml:space="preserve">2 </w:t>
      </w:r>
      <w:r w:rsidRPr="00BB4B6E">
        <w:t xml:space="preserve">nanoparticles reduced Cd in </w:t>
      </w:r>
      <w:r w:rsidRPr="00BB4B6E">
        <w:rPr>
          <w:noProof/>
        </w:rPr>
        <w:t xml:space="preserve">Pennisetum Species </w:t>
      </w:r>
      <w:r w:rsidRPr="00BB4B6E">
        <w:t>by 23 to 37 %. The Cd heavy metal also was reduced by 28 % in wheat when the SiO</w:t>
      </w:r>
      <w:r w:rsidRPr="00BB4B6E">
        <w:rPr>
          <w:vertAlign w:val="subscript"/>
        </w:rPr>
        <w:t xml:space="preserve">2 </w:t>
      </w:r>
      <w:r w:rsidRPr="00BB4B6E">
        <w:t>nanoparticles</w:t>
      </w:r>
      <w:r>
        <w:t xml:space="preserve"> were</w:t>
      </w:r>
      <w:r w:rsidRPr="00BB4B6E">
        <w:t xml:space="preserve"> applied (Naeem </w:t>
      </w:r>
      <w:r w:rsidRPr="00BB4B6E">
        <w:rPr>
          <w:i/>
        </w:rPr>
        <w:t>et al</w:t>
      </w:r>
      <w:r w:rsidRPr="00BB4B6E">
        <w:t>., 2018). Other nanoparticles including ZnO, zinc–lysine nanoparticle and nano-Fe</w:t>
      </w:r>
      <w:r w:rsidRPr="00BB4B6E">
        <w:rPr>
          <w:vertAlign w:val="subscript"/>
        </w:rPr>
        <w:t>3</w:t>
      </w:r>
      <w:r w:rsidRPr="00BB4B6E">
        <w:t>O</w:t>
      </w:r>
      <w:r w:rsidRPr="00BB4B6E">
        <w:rPr>
          <w:vertAlign w:val="subscript"/>
        </w:rPr>
        <w:t xml:space="preserve">4 </w:t>
      </w:r>
      <w:r w:rsidRPr="00BB4B6E">
        <w:t xml:space="preserve">have also been employed in immobilizing Cd hence reducing its uptake in various plant parts to improve their growth (Rizwan </w:t>
      </w:r>
      <w:r w:rsidRPr="00BB4B6E">
        <w:rPr>
          <w:i/>
        </w:rPr>
        <w:t>et al</w:t>
      </w:r>
      <w:r w:rsidRPr="00BB4B6E">
        <w:t>., 2019; Zhou</w:t>
      </w:r>
      <w:r w:rsidRPr="00BB4B6E">
        <w:rPr>
          <w:i/>
        </w:rPr>
        <w:t xml:space="preserve"> et al</w:t>
      </w:r>
      <w:r w:rsidRPr="00BB4B6E">
        <w:t xml:space="preserve">., 2019; Saifullah </w:t>
      </w:r>
      <w:r w:rsidRPr="00BB4B6E">
        <w:rPr>
          <w:i/>
        </w:rPr>
        <w:t>et al</w:t>
      </w:r>
      <w:r w:rsidRPr="00BB4B6E">
        <w:t xml:space="preserve">., 2016). When ZnO nanoparticles were employed, Cd decreased in wheat grain (Saifullah </w:t>
      </w:r>
      <w:r w:rsidRPr="00BB4B6E">
        <w:rPr>
          <w:i/>
        </w:rPr>
        <w:t>et al</w:t>
      </w:r>
      <w:r w:rsidRPr="00BB4B6E">
        <w:t>. (2016)) and in the wheat shoot (Zhou</w:t>
      </w:r>
      <w:r w:rsidRPr="00BB4B6E">
        <w:rPr>
          <w:i/>
        </w:rPr>
        <w:t xml:space="preserve"> et al</w:t>
      </w:r>
      <w:r w:rsidRPr="00BB4B6E">
        <w:t>. (2019)</w:t>
      </w:r>
      <w:r>
        <w:t>)</w:t>
      </w:r>
      <w:r w:rsidRPr="00BB4B6E">
        <w:t xml:space="preserve"> by 74 % and 17 % respectively. Rizwan </w:t>
      </w:r>
      <w:r w:rsidRPr="00BB4B6E">
        <w:rPr>
          <w:i/>
        </w:rPr>
        <w:t>et al</w:t>
      </w:r>
      <w:r w:rsidRPr="00BB4B6E">
        <w:t>. (2017) added the zinc–lysine nanoparticles which reduced Cd levels in green pepper and eggplant fruits by 11.5 % and 15.4 % respectively. Varying the percentage of the adsorbent dosage has shown a directly proportional decrease in Cd levels (Abbas</w:t>
      </w:r>
      <w:r w:rsidRPr="00BB4B6E">
        <w:rPr>
          <w:i/>
        </w:rPr>
        <w:t xml:space="preserve"> et al</w:t>
      </w:r>
      <w:r w:rsidRPr="00BB4B6E">
        <w:t xml:space="preserve">., 2017). Abbas </w:t>
      </w:r>
      <w:r w:rsidRPr="00BB4B6E">
        <w:rPr>
          <w:i/>
        </w:rPr>
        <w:t>et al</w:t>
      </w:r>
      <w:r w:rsidRPr="00BB4B6E">
        <w:t>. (2017) while working with biochar nanoparticles noted that varying nano-biochar from 1.5 % to 5 % re</w:t>
      </w:r>
      <w:r>
        <w:t>sulted in Cd uptake reduction from 26 % to 57 %,</w:t>
      </w:r>
      <w:r w:rsidRPr="00BB4B6E">
        <w:t xml:space="preserve"> in wheat grain. This implies that various nanoparticles dosage have an effect in immobilizing Cd, thereby </w:t>
      </w:r>
      <w:r w:rsidRPr="00BB4B6E">
        <w:lastRenderedPageBreak/>
        <w:t>reducing its uptake in crops. The efficiency of these nanoparticles to immobilize heavy metals depends on the dosage of the nanoparticles applied.</w:t>
      </w:r>
      <w:bookmarkEnd w:id="62"/>
      <w:r>
        <w:t xml:space="preserve"> </w:t>
      </w:r>
      <w:r w:rsidRPr="00BB4B6E">
        <w:rPr>
          <w:iCs/>
          <w:color w:val="0A1B11"/>
        </w:rPr>
        <w:t xml:space="preserve">Similarly, nanoparticles such as synthetic nHA have been applied to lower Pb uptake in several plants. </w:t>
      </w:r>
      <w:r w:rsidRPr="00BB4B6E">
        <w:rPr>
          <w:rFonts w:ascii="Minion-Black" w:hAnsi="Minion-Black" w:cs="Minion-Black"/>
          <w:bCs/>
        </w:rPr>
        <w:t xml:space="preserve">Zhangwei </w:t>
      </w:r>
      <w:r w:rsidRPr="00BB4B6E">
        <w:rPr>
          <w:i/>
        </w:rPr>
        <w:t>et al</w:t>
      </w:r>
      <w:r w:rsidRPr="00BB4B6E">
        <w:t>. (2019) showed that, the addition 30 g</w:t>
      </w:r>
      <w:r w:rsidRPr="00BB4B6E">
        <w:rPr>
          <w:rFonts w:hAnsi="Cambria Math"/>
        </w:rPr>
        <w:t>⋅</w:t>
      </w:r>
      <w:r w:rsidRPr="00BB4B6E">
        <w:t>kg</w:t>
      </w:r>
      <w:r w:rsidRPr="00BB4B6E">
        <w:rPr>
          <w:rFonts w:eastAsia="MinionMath-Capt"/>
          <w:vertAlign w:val="superscript"/>
        </w:rPr>
        <w:t>−1</w:t>
      </w:r>
      <w:r w:rsidRPr="00BB4B6E">
        <w:rPr>
          <w:rFonts w:eastAsia="MinionMath-Capt"/>
        </w:rPr>
        <w:t xml:space="preserve">synthetic </w:t>
      </w:r>
      <w:r w:rsidRPr="00BB4B6E">
        <w:t>n</w:t>
      </w:r>
      <w:r>
        <w:t>HA in heavy metal polluted soil</w:t>
      </w:r>
      <w:r w:rsidRPr="00BB4B6E">
        <w:t xml:space="preserve"> reduced Pb</w:t>
      </w:r>
      <w:r>
        <w:t xml:space="preserve"> in soy bean by 58.1 % (shoot) and </w:t>
      </w:r>
      <w:r w:rsidRPr="00BB4B6E">
        <w:t xml:space="preserve">53.0 % (roots). </w:t>
      </w:r>
      <w:r w:rsidRPr="00BB4B6E">
        <w:rPr>
          <w:color w:val="0E101A"/>
        </w:rPr>
        <w:t>This study investigated use of bone nHA nano-fertilizer in growing kales, s</w:t>
      </w:r>
      <w:r>
        <w:rPr>
          <w:color w:val="0E101A"/>
        </w:rPr>
        <w:t>pinach and beans in Cd/Pb medially</w:t>
      </w:r>
      <w:r w:rsidRPr="00BB4B6E">
        <w:rPr>
          <w:color w:val="0E101A"/>
        </w:rPr>
        <w:t xml:space="preserve"> polluted soils to reduce uptake to </w:t>
      </w:r>
      <w:r w:rsidRPr="00BB4B6E">
        <w:rPr>
          <w:color w:val="000000" w:themeColor="text1"/>
        </w:rPr>
        <w:t>FAO/WHO permissible levels of 10 µ</w:t>
      </w:r>
      <w:r w:rsidRPr="00BB4B6E">
        <w:t>gg</w:t>
      </w:r>
      <w:r w:rsidRPr="00BB4B6E">
        <w:rPr>
          <w:vertAlign w:val="superscript"/>
        </w:rPr>
        <w:t>-1</w:t>
      </w:r>
      <w:r>
        <w:rPr>
          <w:color w:val="0E101A"/>
        </w:rPr>
        <w:t xml:space="preserve"> at maturity of the</w:t>
      </w:r>
      <w:r w:rsidRPr="00BB4B6E">
        <w:rPr>
          <w:color w:val="0E101A"/>
        </w:rPr>
        <w:t xml:space="preserve"> 90</w:t>
      </w:r>
      <w:r w:rsidRPr="00C146FF">
        <w:rPr>
          <w:color w:val="0E101A"/>
          <w:vertAlign w:val="superscript"/>
        </w:rPr>
        <w:t>th</w:t>
      </w:r>
      <w:r>
        <w:rPr>
          <w:color w:val="0E101A"/>
        </w:rPr>
        <w:t xml:space="preserve"> day</w:t>
      </w:r>
      <w:r w:rsidRPr="00BB4B6E">
        <w:rPr>
          <w:color w:val="0E101A"/>
        </w:rPr>
        <w:t xml:space="preserve"> (</w:t>
      </w:r>
      <w:r w:rsidR="00C226E6" w:rsidRPr="00BB4B6E">
        <w:rPr>
          <w:szCs w:val="26"/>
        </w:rPr>
        <w:fldChar w:fldCharType="begin" w:fldLock="1"/>
      </w:r>
      <w:r w:rsidRPr="00BB4B6E">
        <w:rPr>
          <w:szCs w:val="26"/>
        </w:rPr>
        <w:instrText>ADDIN CSL_CITATION {"citationItems":[{"id":"ITEM-1","itemData":{"author":[{"dropping-particle":"","family":"Sezgin, N.; Fatima, A.; Farhan, M.; Awan","given":"N.","non-dropping-particle":"","parse-names":false,"suffix":""}],"container-title":"Pollution Journal of Environmental Studies","id":"ITEM-1","issued":{"date-parts":[["2019"]]},"page":"1561–1566.","title":"Comparative Analysis of Chromium and Cadmium in Various Parts of Wheat and Maize.","type":"article-journal","volume":"28"},"uris":["http://www.mendeley.com/documents/?uuid=9fb3b9f6-feab-496e-8a57-c4537ba461bb"]}],"mendeley":{"formattedCitation":"(Sezgin, N.; Fatima, A.; Farhan, M.; Awan, 2019)","manualFormatting":"(Sezgin et al. (2019)","plainTextFormattedCitation":"(Sezgin, N.; Fatima, A.; Farhan, M.; Awan, 2019)","previouslyFormattedCitation":"(Sezgin, N.; Fatima, A.; Farhan, M.; Awan, 2019)"},"properties":{"noteIndex":0},"schema":"https://github.com/citation-style-language/schema/raw/master/csl-citation.json"}</w:instrText>
      </w:r>
      <w:r w:rsidR="00C226E6" w:rsidRPr="00BB4B6E">
        <w:rPr>
          <w:szCs w:val="26"/>
        </w:rPr>
        <w:fldChar w:fldCharType="separate"/>
      </w:r>
      <w:r w:rsidRPr="00BB4B6E">
        <w:rPr>
          <w:noProof/>
          <w:szCs w:val="26"/>
        </w:rPr>
        <w:t xml:space="preserve">Sezgin </w:t>
      </w:r>
      <w:r w:rsidRPr="00BB4B6E">
        <w:rPr>
          <w:i/>
          <w:noProof/>
          <w:szCs w:val="26"/>
        </w:rPr>
        <w:t xml:space="preserve">et al., </w:t>
      </w:r>
      <w:r w:rsidRPr="00BB4B6E">
        <w:rPr>
          <w:noProof/>
          <w:szCs w:val="26"/>
        </w:rPr>
        <w:t>201</w:t>
      </w:r>
      <w:r w:rsidR="00C226E6" w:rsidRPr="00BB4B6E">
        <w:rPr>
          <w:szCs w:val="26"/>
        </w:rPr>
        <w:fldChar w:fldCharType="end"/>
      </w:r>
      <w:r w:rsidRPr="00BB4B6E">
        <w:rPr>
          <w:szCs w:val="26"/>
        </w:rPr>
        <w:t xml:space="preserve">9; </w:t>
      </w:r>
      <w:r w:rsidRPr="00BB4B6E">
        <w:rPr>
          <w:color w:val="0E101A"/>
        </w:rPr>
        <w:t xml:space="preserve">Wang </w:t>
      </w:r>
      <w:r w:rsidRPr="00BB4B6E">
        <w:rPr>
          <w:i/>
          <w:iCs/>
          <w:color w:val="0E101A"/>
        </w:rPr>
        <w:t>et al.</w:t>
      </w:r>
      <w:r w:rsidRPr="00BB4B6E">
        <w:rPr>
          <w:color w:val="0E101A"/>
        </w:rPr>
        <w:t>, 2016).</w:t>
      </w:r>
    </w:p>
    <w:p w:rsidR="00F934C1" w:rsidRPr="00BB4B6E" w:rsidRDefault="00F934C1" w:rsidP="00F934C1">
      <w:pPr>
        <w:pStyle w:val="NormalWeb"/>
        <w:spacing w:before="0" w:beforeAutospacing="0" w:after="0" w:afterAutospacing="0" w:line="480" w:lineRule="auto"/>
      </w:pPr>
    </w:p>
    <w:p w:rsidR="00F934C1" w:rsidRPr="00BB4B6E" w:rsidRDefault="00F934C1" w:rsidP="00273AE8">
      <w:pPr>
        <w:pStyle w:val="NormalWeb"/>
        <w:spacing w:before="0" w:beforeAutospacing="0" w:after="0" w:afterAutospacing="0" w:line="480" w:lineRule="auto"/>
      </w:pPr>
      <w:r w:rsidRPr="00BB4B6E">
        <w:t xml:space="preserve">In addition, other than reduction of Cd and Pb uptake by nanoparticles, other heavy metals have also been immobilized by use of the nanoparticles. The findings by Alexandre </w:t>
      </w:r>
      <w:r w:rsidRPr="00BB4B6E">
        <w:rPr>
          <w:i/>
        </w:rPr>
        <w:t>et al</w:t>
      </w:r>
      <w:r w:rsidRPr="00BB4B6E">
        <w:t>. (2017) showed that nano-Fe</w:t>
      </w:r>
      <w:r w:rsidRPr="00BB4B6E">
        <w:rPr>
          <w:vertAlign w:val="subscript"/>
        </w:rPr>
        <w:t>3</w:t>
      </w:r>
      <w:r w:rsidRPr="00BB4B6E">
        <w:t>O</w:t>
      </w:r>
      <w:r w:rsidRPr="00BB4B6E">
        <w:rPr>
          <w:vertAlign w:val="subscript"/>
        </w:rPr>
        <w:t xml:space="preserve">4 </w:t>
      </w:r>
      <w:r w:rsidRPr="00BB4B6E">
        <w:t>reduced Zn and Cu in wheat seedling by 11.39 % and 52.94 % (shoot), respectively. Other nanoparticles including ZnO, zinc–lysine nanoparticle and nano-Fe</w:t>
      </w:r>
      <w:r w:rsidRPr="00BB4B6E">
        <w:rPr>
          <w:vertAlign w:val="subscript"/>
        </w:rPr>
        <w:t>3</w:t>
      </w:r>
      <w:r w:rsidRPr="00BB4B6E">
        <w:t>O</w:t>
      </w:r>
      <w:r w:rsidRPr="00BB4B6E">
        <w:rPr>
          <w:vertAlign w:val="subscript"/>
        </w:rPr>
        <w:t xml:space="preserve">4 </w:t>
      </w:r>
      <w:r w:rsidRPr="00BB4B6E">
        <w:t xml:space="preserve">have also been employed in immobilizing Zn hence reducing its uptake by crops (Du </w:t>
      </w:r>
      <w:r w:rsidRPr="00BB4B6E">
        <w:rPr>
          <w:i/>
        </w:rPr>
        <w:t>et al</w:t>
      </w:r>
      <w:r w:rsidRPr="00BB4B6E">
        <w:t>., 2019; Zhou</w:t>
      </w:r>
      <w:r w:rsidRPr="00BB4B6E">
        <w:rPr>
          <w:i/>
        </w:rPr>
        <w:t xml:space="preserve"> et al</w:t>
      </w:r>
      <w:r w:rsidRPr="00BB4B6E">
        <w:t xml:space="preserve">., 2019; Rizwan </w:t>
      </w:r>
      <w:r w:rsidRPr="00BB4B6E">
        <w:rPr>
          <w:i/>
        </w:rPr>
        <w:t>et al</w:t>
      </w:r>
      <w:r w:rsidRPr="00BB4B6E">
        <w:t>., 2017).</w:t>
      </w:r>
    </w:p>
    <w:bookmarkEnd w:id="61"/>
    <w:p w:rsidR="00F934C1" w:rsidRPr="00BB4B6E" w:rsidRDefault="00F934C1" w:rsidP="00273AE8">
      <w:pPr>
        <w:pStyle w:val="NormalWeb"/>
        <w:spacing w:before="0" w:beforeAutospacing="0" w:after="0" w:afterAutospacing="0" w:line="480" w:lineRule="auto"/>
        <w:rPr>
          <w:color w:val="0E101A"/>
        </w:rPr>
      </w:pPr>
    </w:p>
    <w:p w:rsidR="00F934C1" w:rsidRPr="00BB4B6E" w:rsidRDefault="00F934C1" w:rsidP="00273AE8">
      <w:pPr>
        <w:pStyle w:val="Heading2"/>
        <w:spacing w:before="0"/>
      </w:pPr>
      <w:bookmarkStart w:id="63" w:name="_Toc144820005"/>
      <w:r w:rsidRPr="00BB4B6E">
        <w:t xml:space="preserve">2.4 </w:t>
      </w:r>
      <w:r w:rsidRPr="00FF635A">
        <w:t>Hydroxyapatite</w:t>
      </w:r>
      <w:r w:rsidRPr="00BB4B6E">
        <w:t xml:space="preserve"> Nano fertilizers and their Heavy Metal Immobilization in Plants</w:t>
      </w:r>
      <w:bookmarkEnd w:id="63"/>
    </w:p>
    <w:p w:rsidR="00F934C1" w:rsidRPr="00BB4B6E" w:rsidRDefault="00F934C1" w:rsidP="00F934C1">
      <w:pPr>
        <w:rPr>
          <w:color w:val="0E101A"/>
        </w:rPr>
      </w:pPr>
      <w:r w:rsidRPr="00BB4B6E">
        <w:rPr>
          <w:color w:val="0E101A"/>
        </w:rPr>
        <w:t>Hydroxyapatite (HA) is a vital inorganic phosphate rock material that resembles the bone in terms of chemical and structural composition. This apatite group has the formula [Ca</w:t>
      </w:r>
      <w:r w:rsidRPr="00BB4B6E">
        <w:rPr>
          <w:color w:val="0E101A"/>
          <w:vertAlign w:val="subscript"/>
        </w:rPr>
        <w:t>10</w:t>
      </w:r>
      <w:r w:rsidRPr="00BB4B6E">
        <w:rPr>
          <w:color w:val="0E101A"/>
        </w:rPr>
        <w:t>(PO</w:t>
      </w:r>
      <w:r w:rsidRPr="00BB4B6E">
        <w:rPr>
          <w:color w:val="0E101A"/>
          <w:vertAlign w:val="subscript"/>
        </w:rPr>
        <w:t>4</w:t>
      </w:r>
      <w:r w:rsidRPr="00BB4B6E">
        <w:rPr>
          <w:color w:val="0E101A"/>
        </w:rPr>
        <w:t>)</w:t>
      </w:r>
      <w:r w:rsidRPr="00BB4B6E">
        <w:rPr>
          <w:color w:val="0E101A"/>
          <w:vertAlign w:val="subscript"/>
        </w:rPr>
        <w:t>6</w:t>
      </w:r>
      <w:r w:rsidRPr="00BB4B6E">
        <w:rPr>
          <w:color w:val="0E101A"/>
        </w:rPr>
        <w:t>(Z)</w:t>
      </w:r>
      <w:r w:rsidRPr="00BB4B6E">
        <w:rPr>
          <w:color w:val="0E101A"/>
          <w:vertAlign w:val="subscript"/>
        </w:rPr>
        <w:t>2</w:t>
      </w:r>
      <w:r w:rsidRPr="00BB4B6E">
        <w:rPr>
          <w:color w:val="0E101A"/>
        </w:rPr>
        <w:t>, Z = F, Cl, OH], structural si</w:t>
      </w:r>
      <w:r>
        <w:rPr>
          <w:color w:val="0E101A"/>
        </w:rPr>
        <w:t>te Z is commonly occupied by OH</w:t>
      </w:r>
      <w:r w:rsidRPr="00BB4B6E">
        <w:rPr>
          <w:color w:val="0E101A"/>
        </w:rPr>
        <w:t xml:space="preserve">. This biomaterial is used for replacement and repair of bone or teeth. Chemical precipitation, sol-gel, biomimetic deposition, bone milling, and electro-deposition </w:t>
      </w:r>
      <w:r w:rsidRPr="00BB4B6E">
        <w:rPr>
          <w:color w:val="0E101A"/>
        </w:rPr>
        <w:lastRenderedPageBreak/>
        <w:t xml:space="preserve">are some of the methods of preparing synthetic nanohydroxyapatite (syn nHA) that have been developed (Suchanek </w:t>
      </w:r>
      <w:r w:rsidRPr="00BB4B6E">
        <w:rPr>
          <w:i/>
          <w:iCs/>
          <w:color w:val="0E101A"/>
        </w:rPr>
        <w:t>et al</w:t>
      </w:r>
      <w:r w:rsidRPr="00BB4B6E">
        <w:rPr>
          <w:color w:val="0E101A"/>
        </w:rPr>
        <w:t xml:space="preserve">., 2019; Bertazzo </w:t>
      </w:r>
      <w:r w:rsidRPr="00BB4B6E">
        <w:rPr>
          <w:i/>
          <w:color w:val="0E101A"/>
        </w:rPr>
        <w:t>et al</w:t>
      </w:r>
      <w:r w:rsidRPr="00BB4B6E">
        <w:rPr>
          <w:color w:val="0E101A"/>
        </w:rPr>
        <w:t xml:space="preserve">., 2010). Bones contain essential plant nutrients like phosphorus and calcium which are critical for good food quality and better growth performance in plants (Suchanek </w:t>
      </w:r>
      <w:r w:rsidRPr="00BB4B6E">
        <w:rPr>
          <w:i/>
          <w:iCs/>
          <w:color w:val="0E101A"/>
        </w:rPr>
        <w:t>et al</w:t>
      </w:r>
      <w:r w:rsidRPr="00BB4B6E">
        <w:rPr>
          <w:color w:val="0E101A"/>
        </w:rPr>
        <w:t>., 2019; Liu &amp; Lal, 2014). Notably, millions of tones of bones are available in litter dumping sites and because they take longer to biodegrade, they cause an environmental pollution menace. They would hence provide cheap and most effective source of bone nHA when synthesized to nanoparticles.</w:t>
      </w:r>
    </w:p>
    <w:p w:rsidR="00F934C1" w:rsidRPr="00BB4B6E" w:rsidRDefault="00F934C1" w:rsidP="00F934C1">
      <w:pPr>
        <w:rPr>
          <w:color w:val="0E101A"/>
        </w:rPr>
      </w:pPr>
    </w:p>
    <w:p w:rsidR="00F934C1" w:rsidRPr="00BB4B6E" w:rsidRDefault="00F934C1" w:rsidP="00F934C1">
      <w:r w:rsidRPr="00BB4B6E">
        <w:rPr>
          <w:color w:val="0E101A"/>
        </w:rPr>
        <w:t xml:space="preserve">The plant uptake of Cd and Pb heavy metal can be minimized through application of various soil adsorbents since these immobilize them and lower their uptake in crops (Rizwan </w:t>
      </w:r>
      <w:r w:rsidRPr="00BB4B6E">
        <w:rPr>
          <w:rStyle w:val="Emphasis"/>
          <w:rFonts w:eastAsiaTheme="majorEastAsia"/>
          <w:color w:val="0E101A"/>
        </w:rPr>
        <w:t>et al</w:t>
      </w:r>
      <w:r w:rsidRPr="00BB4B6E">
        <w:rPr>
          <w:color w:val="0E101A"/>
        </w:rPr>
        <w:t xml:space="preserve">., 2017; Lee </w:t>
      </w:r>
      <w:r w:rsidRPr="00BB4B6E">
        <w:rPr>
          <w:i/>
          <w:color w:val="0E101A"/>
        </w:rPr>
        <w:t>et al</w:t>
      </w:r>
      <w:r w:rsidRPr="00BB4B6E">
        <w:rPr>
          <w:color w:val="0E101A"/>
        </w:rPr>
        <w:t xml:space="preserve">., 2012). Among the factors that would determine the levels of metal uptake by plants is their maturity and it has been shown that as the plants mature the heavy metal uptake levels reduces </w:t>
      </w:r>
      <w:r w:rsidR="00C226E6" w:rsidRPr="00BB4B6E">
        <w:rPr>
          <w:color w:val="0E101A"/>
        </w:rPr>
        <w:fldChar w:fldCharType="begin" w:fldLock="1"/>
      </w:r>
      <w:r w:rsidRPr="00BB4B6E">
        <w:rPr>
          <w:color w:val="0E101A"/>
        </w:rPr>
        <w:instrText>ADDIN CSL_CITATION {"citationItems":[{"id":"ITEM-1","itemData":{"author":[{"dropping-particle":"","family":"Mohammad K. S.","given":"Mansoure H. and Tsehaye","non-dropping-particle":"","parse-names":false,"suffix":""}],"container-title":"Chemical and Biological Technologies in Agriculture","id":"ITEM-1","issued":{"date-parts":[["2019"]]},"page":"25, 12-19","title":"Plant growth stage influences heavy metal accumulation in leafy vegetables of garden cress and sweet basil","type":"article-journal","volume":"6"},"uris":["http://www.mendeley.com/documents/?uuid=704222e8-8d51-4043-85da-5abb90f195bb"]}],"mendeley":{"formattedCitation":"(Mohammad K. S., 2019)","manualFormatting":"(Mohammad et al., 2019)","plainTextFormattedCitation":"(Mohammad K. S., 2019)"},"properties":{"noteIndex":0},"schema":"https://github.com/citation-style-language/schema/raw/master/csl-citation.json"}</w:instrText>
      </w:r>
      <w:r w:rsidR="00C226E6" w:rsidRPr="00BB4B6E">
        <w:rPr>
          <w:color w:val="0E101A"/>
        </w:rPr>
        <w:fldChar w:fldCharType="separate"/>
      </w:r>
      <w:r w:rsidRPr="00BB4B6E">
        <w:rPr>
          <w:noProof/>
          <w:color w:val="0E101A"/>
        </w:rPr>
        <w:t xml:space="preserve">(Mohammad </w:t>
      </w:r>
      <w:r w:rsidRPr="00BB4B6E">
        <w:rPr>
          <w:i/>
          <w:noProof/>
          <w:color w:val="0E101A"/>
        </w:rPr>
        <w:t>et al.</w:t>
      </w:r>
      <w:r w:rsidRPr="00BB4B6E">
        <w:rPr>
          <w:noProof/>
          <w:color w:val="0E101A"/>
        </w:rPr>
        <w:t>, 2019)</w:t>
      </w:r>
      <w:r w:rsidR="00C226E6" w:rsidRPr="00BB4B6E">
        <w:rPr>
          <w:color w:val="0E101A"/>
        </w:rPr>
        <w:fldChar w:fldCharType="end"/>
      </w:r>
      <w:r w:rsidRPr="00BB4B6E">
        <w:rPr>
          <w:color w:val="0E101A"/>
        </w:rPr>
        <w:t xml:space="preserve">. Another factor is </w:t>
      </w:r>
      <w:r w:rsidRPr="00BB4B6E">
        <w:t xml:space="preserve">the nanoparticles dosage applied, as well as the plant part analyzed (Dong </w:t>
      </w:r>
      <w:r w:rsidRPr="00BB4B6E">
        <w:rPr>
          <w:i/>
        </w:rPr>
        <w:t>et al</w:t>
      </w:r>
      <w:r w:rsidRPr="00BB4B6E">
        <w:t xml:space="preserve">., 2019; </w:t>
      </w:r>
      <w:r w:rsidRPr="00BB4B6E">
        <w:rPr>
          <w:rFonts w:ascii="Minion-Black" w:hAnsi="Minion-Black" w:cs="Minion-Black"/>
          <w:bCs/>
        </w:rPr>
        <w:t xml:space="preserve">Zhangwei </w:t>
      </w:r>
      <w:r w:rsidRPr="00BB4B6E">
        <w:rPr>
          <w:i/>
        </w:rPr>
        <w:t>et al</w:t>
      </w:r>
      <w:r w:rsidRPr="00BB4B6E">
        <w:t>., 2019).</w:t>
      </w:r>
    </w:p>
    <w:p w:rsidR="00F934C1" w:rsidRPr="00BB4B6E" w:rsidRDefault="00F934C1" w:rsidP="00F934C1">
      <w:pPr>
        <w:pStyle w:val="NormalWeb"/>
        <w:spacing w:before="0" w:beforeAutospacing="0" w:after="0" w:afterAutospacing="0" w:line="480" w:lineRule="auto"/>
      </w:pPr>
    </w:p>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These properties of nanoparticles have been explored to develop nano fertilizers with higher adsorption capacity, selectivity and non-toxic (Muhammad </w:t>
      </w:r>
      <w:r w:rsidRPr="00BB4B6E">
        <w:rPr>
          <w:rStyle w:val="Emphasis"/>
          <w:rFonts w:eastAsiaTheme="majorEastAsia"/>
          <w:color w:val="0E101A"/>
        </w:rPr>
        <w:t>et al</w:t>
      </w:r>
      <w:r w:rsidRPr="00BB4B6E">
        <w:rPr>
          <w:color w:val="0E101A"/>
        </w:rPr>
        <w:t xml:space="preserve">., 2019; Yaoyao </w:t>
      </w:r>
      <w:r w:rsidRPr="00BB4B6E">
        <w:rPr>
          <w:rStyle w:val="Emphasis"/>
          <w:rFonts w:eastAsiaTheme="majorEastAsia"/>
          <w:color w:val="0E101A"/>
        </w:rPr>
        <w:t>et al</w:t>
      </w:r>
      <w:r w:rsidRPr="00BB4B6E">
        <w:rPr>
          <w:color w:val="0E101A"/>
        </w:rPr>
        <w:t xml:space="preserve">., 2019; Ling </w:t>
      </w:r>
      <w:r w:rsidRPr="00BB4B6E">
        <w:rPr>
          <w:rStyle w:val="Emphasis"/>
          <w:rFonts w:eastAsiaTheme="majorEastAsia"/>
          <w:color w:val="0E101A"/>
        </w:rPr>
        <w:t>et al</w:t>
      </w:r>
      <w:r w:rsidRPr="00BB4B6E">
        <w:rPr>
          <w:color w:val="0E101A"/>
        </w:rPr>
        <w:t xml:space="preserve">., 2017). Among these properties is the efficiency of the nano-adsorbent material to immobilize heavy metal, which is directly proportional to surface area of the nanoparticles exposed (Sun </w:t>
      </w:r>
      <w:r w:rsidRPr="00BB4B6E">
        <w:rPr>
          <w:i/>
          <w:color w:val="0E101A"/>
        </w:rPr>
        <w:t>et al</w:t>
      </w:r>
      <w:r w:rsidRPr="00BB4B6E">
        <w:rPr>
          <w:color w:val="0E101A"/>
        </w:rPr>
        <w:t>., 2020).</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NormalWeb"/>
        <w:spacing w:before="0" w:beforeAutospacing="0" w:after="0" w:afterAutospacing="0" w:line="480" w:lineRule="auto"/>
        <w:rPr>
          <w:color w:val="0E101A"/>
        </w:rPr>
      </w:pPr>
      <w:r w:rsidRPr="00BB4B6E">
        <w:rPr>
          <w:color w:val="0E101A"/>
        </w:rPr>
        <w:t>The HA nanoparticles (Ca</w:t>
      </w:r>
      <w:r w:rsidRPr="00BB4B6E">
        <w:rPr>
          <w:color w:val="0E101A"/>
          <w:vertAlign w:val="subscript"/>
        </w:rPr>
        <w:t>10</w:t>
      </w:r>
      <w:r w:rsidRPr="00BB4B6E">
        <w:rPr>
          <w:color w:val="0E101A"/>
        </w:rPr>
        <w:t>(PO</w:t>
      </w:r>
      <w:r w:rsidRPr="00BB4B6E">
        <w:rPr>
          <w:color w:val="0E101A"/>
          <w:vertAlign w:val="subscript"/>
        </w:rPr>
        <w:t>4</w:t>
      </w:r>
      <w:r w:rsidRPr="00BB4B6E">
        <w:rPr>
          <w:color w:val="0E101A"/>
        </w:rPr>
        <w:t>)</w:t>
      </w:r>
      <w:r w:rsidRPr="00BB4B6E">
        <w:rPr>
          <w:color w:val="0E101A"/>
          <w:vertAlign w:val="subscript"/>
        </w:rPr>
        <w:t>6</w:t>
      </w:r>
      <w:r w:rsidRPr="00BB4B6E">
        <w:rPr>
          <w:color w:val="0E101A"/>
        </w:rPr>
        <w:t>(OH)</w:t>
      </w:r>
      <w:r w:rsidRPr="00BB4B6E">
        <w:rPr>
          <w:color w:val="0E101A"/>
          <w:vertAlign w:val="subscript"/>
        </w:rPr>
        <w:t>2</w:t>
      </w:r>
      <w:r w:rsidRPr="00BB4B6E">
        <w:rPr>
          <w:color w:val="0E101A"/>
        </w:rPr>
        <w:t xml:space="preserve">) thus continue to be explored as a potential alternative phosphatic fertilizer (Liu &amp; Lal, 2014) and for immobilization of heavy </w:t>
      </w:r>
      <w:r w:rsidRPr="00BB4B6E">
        <w:rPr>
          <w:color w:val="0E101A"/>
        </w:rPr>
        <w:lastRenderedPageBreak/>
        <w:t xml:space="preserve">metals (Wang </w:t>
      </w:r>
      <w:r w:rsidRPr="00BB4B6E">
        <w:rPr>
          <w:i/>
          <w:iCs/>
          <w:color w:val="0E101A"/>
        </w:rPr>
        <w:t>et al</w:t>
      </w:r>
      <w:r w:rsidRPr="00BB4B6E">
        <w:rPr>
          <w:color w:val="0E101A"/>
        </w:rPr>
        <w:t xml:space="preserve">., 2016; Konate </w:t>
      </w:r>
      <w:r w:rsidRPr="00BB4B6E">
        <w:rPr>
          <w:i/>
          <w:iCs/>
          <w:color w:val="0E101A"/>
        </w:rPr>
        <w:t>et al</w:t>
      </w:r>
      <w:r w:rsidRPr="00BB4B6E">
        <w:rPr>
          <w:color w:val="0E101A"/>
        </w:rPr>
        <w:t xml:space="preserve">., 2013). As a result of the latter, they not only reduce the heavy metal uptake by vegetables but enhance their growth indicators like height, number of leaves and pods, leaf diameter and stem diameter (Zhang </w:t>
      </w:r>
      <w:r w:rsidRPr="00BB4B6E">
        <w:rPr>
          <w:i/>
          <w:iCs/>
          <w:color w:val="0E101A"/>
        </w:rPr>
        <w:t>et al</w:t>
      </w:r>
      <w:r w:rsidRPr="00BB4B6E">
        <w:rPr>
          <w:color w:val="0E101A"/>
        </w:rPr>
        <w:t xml:space="preserve">. 2019; Dwivedi </w:t>
      </w:r>
      <w:r w:rsidRPr="00BB4B6E">
        <w:rPr>
          <w:i/>
          <w:iCs/>
          <w:color w:val="0E101A"/>
        </w:rPr>
        <w:t>et al</w:t>
      </w:r>
      <w:r w:rsidRPr="00BB4B6E">
        <w:rPr>
          <w:color w:val="0E101A"/>
        </w:rPr>
        <w:t xml:space="preserve">., 2016; Raliya </w:t>
      </w:r>
      <w:r w:rsidRPr="00BB4B6E">
        <w:rPr>
          <w:i/>
          <w:iCs/>
          <w:color w:val="0E101A"/>
        </w:rPr>
        <w:t>et al</w:t>
      </w:r>
      <w:r w:rsidRPr="00BB4B6E">
        <w:rPr>
          <w:color w:val="0E101A"/>
        </w:rPr>
        <w:t xml:space="preserve">., 2015; Prasad </w:t>
      </w:r>
      <w:r w:rsidRPr="00BB4B6E">
        <w:rPr>
          <w:i/>
          <w:iCs/>
          <w:color w:val="0E101A"/>
        </w:rPr>
        <w:t>et al</w:t>
      </w:r>
      <w:r w:rsidRPr="00BB4B6E">
        <w:rPr>
          <w:color w:val="0E101A"/>
        </w:rPr>
        <w:t xml:space="preserve">., 2012). Bone nanofertilizers have added advantage of being non-toxic. The study was conducted in Nyakoe Kisii county using artificial medially Cd/Pb polluted sandy loamy soils. Human exposure to Cd and Pb heavy metal is mainly through ingestion of contaminated food, although exposure can also be through water, air, or skin absorption (Zhu </w:t>
      </w:r>
      <w:r w:rsidRPr="00BB4B6E">
        <w:rPr>
          <w:i/>
          <w:iCs/>
          <w:color w:val="0E101A"/>
        </w:rPr>
        <w:t>et al</w:t>
      </w:r>
      <w:r w:rsidRPr="00BB4B6E">
        <w:rPr>
          <w:color w:val="0E101A"/>
        </w:rPr>
        <w:t xml:space="preserve">., 2019; Rezvani </w:t>
      </w:r>
      <w:r w:rsidRPr="00BB4B6E">
        <w:rPr>
          <w:i/>
          <w:iCs/>
          <w:color w:val="0E101A"/>
        </w:rPr>
        <w:t>et al</w:t>
      </w:r>
      <w:r w:rsidRPr="00BB4B6E">
        <w:rPr>
          <w:color w:val="0E101A"/>
        </w:rPr>
        <w:t xml:space="preserve">., 2012). Absorption of heavy metals in kales, spinach, and beans may hence be inevitable since vegetables are grown in polluted soils (Muhammad </w:t>
      </w:r>
      <w:r w:rsidRPr="00BB4B6E">
        <w:rPr>
          <w:i/>
          <w:color w:val="0E101A"/>
        </w:rPr>
        <w:t>et al</w:t>
      </w:r>
      <w:r w:rsidRPr="00BB4B6E">
        <w:rPr>
          <w:color w:val="0E101A"/>
        </w:rPr>
        <w:t>., 2019). Their dangers cannot be underscored, and in particular, effects of long-term exposure to Cd and Pb include cancer, Parkinson’s disease, muscular dystrophy, sudden infant death syndrome (SIDs), multiple sclerosis, and neurological degenerative processes like mimic Alzheimer’s disease (</w:t>
      </w:r>
      <w:r w:rsidRPr="00BB4B6E">
        <w:rPr>
          <w:noProof/>
        </w:rPr>
        <w:t xml:space="preserve">Davarpanah </w:t>
      </w:r>
      <w:r w:rsidRPr="00BB4B6E">
        <w:rPr>
          <w:i/>
          <w:iCs/>
          <w:color w:val="0E101A"/>
        </w:rPr>
        <w:t>et al</w:t>
      </w:r>
      <w:r w:rsidRPr="00BB4B6E">
        <w:rPr>
          <w:color w:val="0E101A"/>
        </w:rPr>
        <w:t xml:space="preserve">., 2016; Helaly </w:t>
      </w:r>
      <w:r w:rsidRPr="00BB4B6E">
        <w:rPr>
          <w:i/>
          <w:iCs/>
          <w:color w:val="0E101A"/>
        </w:rPr>
        <w:t>et al</w:t>
      </w:r>
      <w:r>
        <w:rPr>
          <w:color w:val="0E101A"/>
        </w:rPr>
        <w:t>., 2014). The</w:t>
      </w:r>
      <w:r w:rsidRPr="00BB4B6E">
        <w:rPr>
          <w:color w:val="0E101A"/>
        </w:rPr>
        <w:t xml:space="preserve"> effects of Cd and Pb toxicity in plants include stunted growth, wilting, chlorosis and necrosis (Musico </w:t>
      </w:r>
      <w:r w:rsidRPr="00BB4B6E">
        <w:rPr>
          <w:i/>
          <w:color w:val="0E101A"/>
        </w:rPr>
        <w:t>et al</w:t>
      </w:r>
      <w:r w:rsidRPr="00BB4B6E">
        <w:rPr>
          <w:color w:val="0E101A"/>
        </w:rPr>
        <w:t>., 2013).</w:t>
      </w:r>
    </w:p>
    <w:p w:rsidR="00F934C1" w:rsidRPr="00BB4B6E" w:rsidRDefault="00F934C1" w:rsidP="00273AE8">
      <w:pPr>
        <w:pStyle w:val="NormalWeb"/>
        <w:spacing w:before="0" w:beforeAutospacing="0" w:after="0" w:afterAutospacing="0" w:line="480" w:lineRule="auto"/>
        <w:rPr>
          <w:color w:val="0E101A"/>
        </w:rPr>
      </w:pPr>
      <w:r w:rsidRPr="00BB4B6E">
        <w:rPr>
          <w:color w:val="0E101A"/>
        </w:rPr>
        <w:t xml:space="preserve">As already stated, studies on the HA nanoparticles indicated that they immobilize heavy metals in plants (Zahra </w:t>
      </w:r>
      <w:r w:rsidRPr="00BB4B6E">
        <w:rPr>
          <w:i/>
          <w:color w:val="0E101A"/>
        </w:rPr>
        <w:t>et al.,</w:t>
      </w:r>
      <w:r w:rsidRPr="00BB4B6E">
        <w:rPr>
          <w:color w:val="0E101A"/>
        </w:rPr>
        <w:t xml:space="preserve"> 2019; Zhangwei </w:t>
      </w:r>
      <w:r w:rsidRPr="00BB4B6E">
        <w:rPr>
          <w:i/>
          <w:color w:val="0E101A"/>
        </w:rPr>
        <w:t>et al</w:t>
      </w:r>
      <w:r w:rsidRPr="00BB4B6E">
        <w:rPr>
          <w:color w:val="0E101A"/>
        </w:rPr>
        <w:t xml:space="preserve">., 2019; Wang </w:t>
      </w:r>
      <w:r w:rsidRPr="00BB4B6E">
        <w:rPr>
          <w:i/>
          <w:iCs/>
          <w:color w:val="0E101A"/>
        </w:rPr>
        <w:t>et al</w:t>
      </w:r>
      <w:r w:rsidRPr="00BB4B6E">
        <w:rPr>
          <w:color w:val="0E101A"/>
        </w:rPr>
        <w:t xml:space="preserve">., 2016). In both studies by Zahra </w:t>
      </w:r>
      <w:r w:rsidRPr="00BB4B6E">
        <w:rPr>
          <w:i/>
          <w:color w:val="0E101A"/>
        </w:rPr>
        <w:t>et al.</w:t>
      </w:r>
      <w:r w:rsidRPr="00BB4B6E">
        <w:rPr>
          <w:color w:val="0E101A"/>
        </w:rPr>
        <w:t xml:space="preserve"> (2019) and Zhangwei </w:t>
      </w:r>
      <w:r w:rsidRPr="00BB4B6E">
        <w:rPr>
          <w:i/>
          <w:color w:val="0E101A"/>
        </w:rPr>
        <w:t>et al</w:t>
      </w:r>
      <w:r w:rsidRPr="00BB4B6E">
        <w:rPr>
          <w:color w:val="0E101A"/>
        </w:rPr>
        <w:t>. (2019) the efficiency of HA nanoparticles to immobilize heavy metals is supported. The former study investigated reduction of Cd uptake in wheat using ZnO nanoparticles and results indicated Cd uptake reduced by 80.1 % while in the later, a 58.1. % decrease in Pb</w:t>
      </w:r>
      <w:r w:rsidRPr="00BB4B6E">
        <w:rPr>
          <w:color w:val="0E101A"/>
          <w:vertAlign w:val="superscript"/>
        </w:rPr>
        <w:t>2+</w:t>
      </w:r>
      <w:r w:rsidRPr="00BB4B6E">
        <w:rPr>
          <w:color w:val="0E101A"/>
        </w:rPr>
        <w:t xml:space="preserve">in soy bean was reported. Similar observations had earlier been made by </w:t>
      </w:r>
      <w:r w:rsidR="00C226E6" w:rsidRPr="00BB4B6E">
        <w:fldChar w:fldCharType="begin" w:fldLock="1"/>
      </w:r>
      <w:r w:rsidRPr="00BB4B6E">
        <w:instrText>ADDIN CSL_CITATION {"citationItems":[{"id":"ITEM-1","itemData":{"author":[{"dropping-particle":"","family":"Joshi","given":"A.","non-dropping-particle":"","parse-names":false,"suffix":""},{"dropping-particle":"","family":"Kaur","given":"S.","non-dropping-particle":"","parse-names":false,"suffix":""},{"dropping-particle":"","family":"Dharamvir","given":"K.","non-dropping-particle":"","parse-names":false,"suffix":""},{"dropping-particle":"","family":"Nayyar","given":"H.","non-dropping-particle":"","parse-names":false,"suffix":""},{"dropping-particle":"","family":"Verma","given":"G.","non-dropping-particle":"","parse-names":false,"suffix":""}],"container-title":"Journal of Science and Food Agriculture.","id":"ITEM-1","issued":{"date-parts":[["2018"]]},"page":"3148–3160.","title":"Multi-walled carbon nanotubes applied through seed-priming influence early germination, root hair, growth and yield of bread wheat (Triticum aestivum L.)","type":"article-journal","volume":"98"},"uris":["http://www.mendeley.com/documents/?uuid=82159b39-f43c-42bb-a788-e13f322bbf09"]}],"mendeley":{"formattedCitation":"(Joshi et al., 2018)","manualFormatting":"Wang et al.(2016)","plainTextFormattedCitation":"(Joshi et al., 2018)","previouslyFormattedCitation":"(Joshi et al., 2018)"},"properties":{"noteIndex":0},"schema":"https://github.com/citation-style-language/schema/raw/master/csl-citation.json"}</w:instrText>
      </w:r>
      <w:r w:rsidR="00C226E6" w:rsidRPr="00BB4B6E">
        <w:fldChar w:fldCharType="separate"/>
      </w:r>
      <w:r w:rsidRPr="00BB4B6E">
        <w:rPr>
          <w:noProof/>
        </w:rPr>
        <w:t xml:space="preserve">Wang </w:t>
      </w:r>
      <w:r w:rsidRPr="00BB4B6E">
        <w:rPr>
          <w:i/>
          <w:noProof/>
        </w:rPr>
        <w:t>et al.</w:t>
      </w:r>
      <w:r w:rsidRPr="00BB4B6E">
        <w:rPr>
          <w:noProof/>
        </w:rPr>
        <w:t>(2016)</w:t>
      </w:r>
      <w:r w:rsidR="00C226E6" w:rsidRPr="00BB4B6E">
        <w:fldChar w:fldCharType="end"/>
      </w:r>
      <w:r w:rsidRPr="00BB4B6E">
        <w:t xml:space="preserve"> where </w:t>
      </w:r>
      <w:r w:rsidRPr="00BB4B6E">
        <w:rPr>
          <w:color w:val="0E101A"/>
        </w:rPr>
        <w:t>silicon oxide-based</w:t>
      </w:r>
      <w:r w:rsidRPr="00BB4B6E">
        <w:t xml:space="preserve"> nanoparticle treatment resulted in a decrease in Pb uptake by 59.25 % while commercial fertilizers increased Pb in kale </w:t>
      </w:r>
      <w:r w:rsidRPr="00BB4B6E">
        <w:lastRenderedPageBreak/>
        <w:t>by 14 % in comparison to 0</w:t>
      </w:r>
      <w:r>
        <w:t xml:space="preserve"> </w:t>
      </w:r>
      <w:r w:rsidRPr="00BB4B6E">
        <w:t xml:space="preserve">% of the control. </w:t>
      </w:r>
      <w:r w:rsidRPr="00BB4B6E">
        <w:rPr>
          <w:color w:val="0E101A"/>
        </w:rPr>
        <w:t>However, most studies have not embraced use of nHA nano-fertilizers especially bone nHA, which is locally and cheaply synthesized and its non-toxic in growing kales, beans and spinach to reduce heavy metal uptake and enhance growth performance in these vegetables. This is what was embarked in this study.</w:t>
      </w:r>
    </w:p>
    <w:p w:rsidR="00F934C1" w:rsidRPr="00BB4B6E" w:rsidRDefault="00F934C1" w:rsidP="00273AE8">
      <w:pPr>
        <w:pStyle w:val="NormalWeb"/>
        <w:spacing w:before="0" w:beforeAutospacing="0" w:after="0" w:afterAutospacing="0" w:line="480" w:lineRule="auto"/>
        <w:rPr>
          <w:color w:val="0E101A"/>
        </w:rPr>
      </w:pPr>
    </w:p>
    <w:p w:rsidR="00F934C1" w:rsidRPr="00BB4B6E" w:rsidRDefault="00F934C1" w:rsidP="00273AE8">
      <w:pPr>
        <w:pStyle w:val="Heading2"/>
        <w:spacing w:before="0"/>
      </w:pPr>
      <w:bookmarkStart w:id="64" w:name="_Toc144820006"/>
      <w:r w:rsidRPr="00BB4B6E">
        <w:t xml:space="preserve">2.5 Effect </w:t>
      </w:r>
      <w:r w:rsidRPr="00FF635A">
        <w:t>of</w:t>
      </w:r>
      <w:r w:rsidRPr="00BB4B6E">
        <w:t xml:space="preserve"> Nano fertilizers on Plant Growth Performance</w:t>
      </w:r>
      <w:bookmarkEnd w:id="64"/>
    </w:p>
    <w:p w:rsidR="00F934C1" w:rsidRPr="00BB4B6E" w:rsidRDefault="00F934C1" w:rsidP="00273AE8">
      <w:pPr>
        <w:rPr>
          <w:color w:val="0E101A"/>
        </w:rPr>
      </w:pPr>
      <w:r w:rsidRPr="00BB4B6E">
        <w:rPr>
          <w:color w:val="0E101A"/>
        </w:rPr>
        <w:t>Growth performance is the change of growth performance parameters like height, leaf diame</w:t>
      </w:r>
      <w:r>
        <w:rPr>
          <w:color w:val="0E101A"/>
        </w:rPr>
        <w:t xml:space="preserve">ter, number of leaves and </w:t>
      </w:r>
      <w:r w:rsidRPr="00BB4B6E">
        <w:rPr>
          <w:color w:val="0E101A"/>
        </w:rPr>
        <w:t>tillers</w:t>
      </w:r>
      <w:r>
        <w:rPr>
          <w:color w:val="0E101A"/>
        </w:rPr>
        <w:t>,</w:t>
      </w:r>
      <w:r w:rsidRPr="00BB4B6E">
        <w:rPr>
          <w:color w:val="0E101A"/>
        </w:rPr>
        <w:t xml:space="preserve"> stem diameter, plant dry wei</w:t>
      </w:r>
      <w:r>
        <w:rPr>
          <w:color w:val="0E101A"/>
        </w:rPr>
        <w:t xml:space="preserve">ght, and crop yield </w:t>
      </w:r>
      <w:r w:rsidRPr="00F45889">
        <w:rPr>
          <w:color w:val="0E101A"/>
        </w:rPr>
        <w:t xml:space="preserve">(Raliya </w:t>
      </w:r>
      <w:r w:rsidRPr="00F45889">
        <w:rPr>
          <w:i/>
          <w:iCs/>
          <w:color w:val="0E101A"/>
        </w:rPr>
        <w:t>et al</w:t>
      </w:r>
      <w:r w:rsidRPr="00F45889">
        <w:rPr>
          <w:color w:val="0E101A"/>
        </w:rPr>
        <w:t>., 2015). Nanoparticles</w:t>
      </w:r>
      <w:r w:rsidRPr="00BB4B6E">
        <w:rPr>
          <w:color w:val="0E101A"/>
        </w:rPr>
        <w:t xml:space="preserve"> have been used not only to reduce heavy metal uptake, but also in improving crop growth performanc</w:t>
      </w:r>
      <w:r>
        <w:rPr>
          <w:color w:val="0E101A"/>
        </w:rPr>
        <w:t>e on the number of leaves,</w:t>
      </w:r>
      <w:r w:rsidRPr="00BB4B6E">
        <w:rPr>
          <w:color w:val="0E101A"/>
        </w:rPr>
        <w:t xml:space="preserve"> height, leaf diameter, number of pods, and stem diameter as major growth indicators (Shojaei</w:t>
      </w:r>
      <w:r w:rsidRPr="00BB4B6E">
        <w:rPr>
          <w:rStyle w:val="Emphasis"/>
          <w:rFonts w:eastAsiaTheme="majorEastAsia"/>
          <w:color w:val="0E101A"/>
        </w:rPr>
        <w:t xml:space="preserve"> et al</w:t>
      </w:r>
      <w:r w:rsidRPr="00BB4B6E">
        <w:rPr>
          <w:color w:val="0E101A"/>
        </w:rPr>
        <w:t xml:space="preserve">., 2019; Dubey </w:t>
      </w:r>
      <w:r w:rsidRPr="00BB4B6E">
        <w:rPr>
          <w:rStyle w:val="Emphasis"/>
          <w:rFonts w:eastAsiaTheme="majorEastAsia"/>
          <w:color w:val="0E101A"/>
        </w:rPr>
        <w:t>et al</w:t>
      </w:r>
      <w:r w:rsidRPr="00BB4B6E">
        <w:rPr>
          <w:color w:val="0E101A"/>
        </w:rPr>
        <w:t>., 2016; Shalaby</w:t>
      </w:r>
      <w:r w:rsidRPr="00BB4B6E">
        <w:rPr>
          <w:rStyle w:val="Emphasis"/>
          <w:rFonts w:eastAsiaTheme="majorEastAsia"/>
          <w:color w:val="0E101A"/>
        </w:rPr>
        <w:t xml:space="preserve"> et al</w:t>
      </w:r>
      <w:r w:rsidRPr="00BB4B6E">
        <w:rPr>
          <w:color w:val="0E101A"/>
        </w:rPr>
        <w:t xml:space="preserve">., 2016). The nanoparticles have improved growth performance; the mostly used growth parameter is plant height, which can be measured in 30, 60 and 90 day intervals. Other growth parameters that can measure growth performance include stem diameter, number of leaves, leaf diameter, number of pods, and crop dry weight which can </w:t>
      </w:r>
      <w:r>
        <w:rPr>
          <w:color w:val="0E101A"/>
        </w:rPr>
        <w:t xml:space="preserve">be </w:t>
      </w:r>
      <w:r w:rsidRPr="00BB4B6E">
        <w:rPr>
          <w:color w:val="0E101A"/>
        </w:rPr>
        <w:t xml:space="preserve">measured at maturity (Melika </w:t>
      </w:r>
      <w:r w:rsidRPr="00BB4B6E">
        <w:rPr>
          <w:rStyle w:val="Emphasis"/>
          <w:rFonts w:eastAsiaTheme="majorEastAsia"/>
          <w:color w:val="0E101A"/>
        </w:rPr>
        <w:t>et al</w:t>
      </w:r>
      <w:r w:rsidRPr="00BB4B6E">
        <w:rPr>
          <w:color w:val="0E101A"/>
        </w:rPr>
        <w:t xml:space="preserve">., 2015; Liu &amp; Lal, 2014). Further, they ensure higher nutrient use efficiency and have regulated nutrient release rate (Mehrazar </w:t>
      </w:r>
      <w:r w:rsidRPr="00BB4B6E">
        <w:rPr>
          <w:rStyle w:val="Emphasis"/>
          <w:rFonts w:eastAsiaTheme="majorEastAsia"/>
          <w:color w:val="0E101A"/>
        </w:rPr>
        <w:t>et al</w:t>
      </w:r>
      <w:r w:rsidRPr="00BB4B6E">
        <w:rPr>
          <w:color w:val="0E101A"/>
        </w:rPr>
        <w:t xml:space="preserve">., 2015; Cai </w:t>
      </w:r>
      <w:r w:rsidRPr="00BB4B6E">
        <w:rPr>
          <w:rStyle w:val="Emphasis"/>
          <w:rFonts w:eastAsiaTheme="majorEastAsia"/>
          <w:color w:val="0E101A"/>
        </w:rPr>
        <w:t>et al</w:t>
      </w:r>
      <w:r w:rsidRPr="00BB4B6E">
        <w:rPr>
          <w:color w:val="0E101A"/>
        </w:rPr>
        <w:t xml:space="preserve">., 2014). Some underlying factors that can be attributed to crop growth parameters are monitored while administering the nHA include the age of the plant, part of the plant, species of the plant and dosage of the fertilizer (Mohammad </w:t>
      </w:r>
      <w:r w:rsidRPr="00BB4B6E">
        <w:rPr>
          <w:i/>
          <w:color w:val="0E101A"/>
        </w:rPr>
        <w:t>et al</w:t>
      </w:r>
      <w:r w:rsidRPr="00BB4B6E">
        <w:rPr>
          <w:color w:val="0E101A"/>
        </w:rPr>
        <w:t>., 2019).</w:t>
      </w:r>
    </w:p>
    <w:p w:rsidR="00F934C1" w:rsidRPr="00BB4B6E" w:rsidRDefault="00F934C1" w:rsidP="00273AE8">
      <w:pPr>
        <w:autoSpaceDE/>
        <w:autoSpaceDN/>
        <w:adjustRightInd/>
        <w:jc w:val="left"/>
        <w:rPr>
          <w:color w:val="0E101A"/>
        </w:rPr>
      </w:pPr>
    </w:p>
    <w:p w:rsidR="00F934C1" w:rsidRPr="00BB4B6E" w:rsidRDefault="00F934C1" w:rsidP="00273AE8">
      <w:pPr>
        <w:rPr>
          <w:color w:val="0E101A"/>
        </w:rPr>
      </w:pPr>
      <w:r w:rsidRPr="00BB4B6E">
        <w:rPr>
          <w:color w:val="0E101A"/>
        </w:rPr>
        <w:lastRenderedPageBreak/>
        <w:t>In particular, Ag-oxide, Cu-oxide, FeO, TiO</w:t>
      </w:r>
      <w:r w:rsidRPr="00BB4B6E">
        <w:rPr>
          <w:color w:val="0E101A"/>
          <w:vertAlign w:val="subscript"/>
        </w:rPr>
        <w:t>2,</w:t>
      </w:r>
      <w:r w:rsidRPr="00BB4B6E">
        <w:rPr>
          <w:color w:val="0E101A"/>
        </w:rPr>
        <w:t xml:space="preserve"> ZnO, and hydroxyapatite nanoparticles, have been fo</w:t>
      </w:r>
      <w:r>
        <w:rPr>
          <w:color w:val="0E101A"/>
        </w:rPr>
        <w:t xml:space="preserve">und to increase crop growth in </w:t>
      </w:r>
      <w:r w:rsidRPr="00BB4B6E">
        <w:rPr>
          <w:color w:val="0E101A"/>
        </w:rPr>
        <w:t>mung bean, soybean, spinach, peanut, onion, wheat, tomato, mustard and potato (Iqbal</w:t>
      </w:r>
      <w:r w:rsidRPr="00BB4B6E">
        <w:rPr>
          <w:rStyle w:val="Emphasis"/>
          <w:rFonts w:eastAsiaTheme="majorEastAsia"/>
          <w:color w:val="0E101A"/>
        </w:rPr>
        <w:t xml:space="preserve"> et al</w:t>
      </w:r>
      <w:r w:rsidRPr="00BB4B6E">
        <w:rPr>
          <w:color w:val="0E101A"/>
        </w:rPr>
        <w:t>., 2019; Davarpanah</w:t>
      </w:r>
      <w:r w:rsidRPr="00BB4B6E">
        <w:rPr>
          <w:rStyle w:val="Emphasis"/>
          <w:rFonts w:eastAsiaTheme="majorEastAsia"/>
          <w:color w:val="0E101A"/>
        </w:rPr>
        <w:t xml:space="preserve"> et al</w:t>
      </w:r>
      <w:r w:rsidRPr="00BB4B6E">
        <w:rPr>
          <w:color w:val="0E101A"/>
        </w:rPr>
        <w:t>., 2016). Iqbal</w:t>
      </w:r>
      <w:r w:rsidRPr="00BB4B6E">
        <w:rPr>
          <w:rStyle w:val="Emphasis"/>
          <w:rFonts w:eastAsiaTheme="majorEastAsia"/>
          <w:color w:val="0E101A"/>
        </w:rPr>
        <w:t xml:space="preserve"> et al</w:t>
      </w:r>
      <w:r w:rsidRPr="00BB4B6E">
        <w:rPr>
          <w:color w:val="0E101A"/>
        </w:rPr>
        <w:t>. (2019) used Ag</w:t>
      </w:r>
      <w:r w:rsidRPr="00BB4B6E">
        <w:rPr>
          <w:color w:val="0E101A"/>
          <w:vertAlign w:val="subscript"/>
        </w:rPr>
        <w:t>2</w:t>
      </w:r>
      <w:r w:rsidRPr="00BB4B6E">
        <w:rPr>
          <w:color w:val="0E101A"/>
        </w:rPr>
        <w:t xml:space="preserve">O nanoparticles to increase wheat height by 36.2 % while Davarpanah </w:t>
      </w:r>
      <w:r w:rsidRPr="00BB4B6E">
        <w:rPr>
          <w:i/>
          <w:color w:val="0E101A"/>
        </w:rPr>
        <w:t>et al</w:t>
      </w:r>
      <w:r w:rsidRPr="00BB4B6E">
        <w:rPr>
          <w:color w:val="0E101A"/>
        </w:rPr>
        <w:t>. (2016) used ZnO nanoparticles to increase dry weight biomass by 29.2 %.</w:t>
      </w:r>
    </w:p>
    <w:p w:rsidR="00F934C1" w:rsidRPr="00BB4B6E" w:rsidRDefault="00F934C1" w:rsidP="00F934C1">
      <w:pPr>
        <w:rPr>
          <w:color w:val="0E101A"/>
        </w:rPr>
      </w:pPr>
    </w:p>
    <w:p w:rsidR="00F934C1" w:rsidRPr="00BB4B6E" w:rsidRDefault="00F934C1" w:rsidP="00F934C1">
      <w:pPr>
        <w:rPr>
          <w:color w:val="0E101A"/>
        </w:rPr>
      </w:pPr>
      <w:r w:rsidRPr="00BB4B6E">
        <w:rPr>
          <w:color w:val="0E101A"/>
        </w:rPr>
        <w:t xml:space="preserve">In </w:t>
      </w:r>
      <w:r w:rsidRPr="00BB4B6E">
        <w:rPr>
          <w:noProof/>
        </w:rPr>
        <w:t>exploring effect of Fe/SiO</w:t>
      </w:r>
      <w:r w:rsidRPr="00BB4B6E">
        <w:rPr>
          <w:noProof/>
          <w:vertAlign w:val="subscript"/>
        </w:rPr>
        <w:t>2</w:t>
      </w:r>
      <w:r w:rsidRPr="00BB4B6E">
        <w:rPr>
          <w:noProof/>
        </w:rPr>
        <w:t xml:space="preserve"> nano-fertilizers on plant growth, an amount of </w:t>
      </w:r>
      <w:r w:rsidRPr="00BB4B6E">
        <w:rPr>
          <w:color w:val="0E101A"/>
        </w:rPr>
        <w:t>15 mg kg</w:t>
      </w:r>
      <w:r w:rsidRPr="00BB4B6E">
        <w:rPr>
          <w:color w:val="0E101A"/>
          <w:vertAlign w:val="superscript"/>
        </w:rPr>
        <w:t>-1</w:t>
      </w:r>
      <w:r w:rsidRPr="00BB4B6E">
        <w:rPr>
          <w:color w:val="0E101A"/>
        </w:rPr>
        <w:t xml:space="preserve"> increased height of maize and barley seedlings by 20.8 %, and 8.25 %, respectively (Disfani </w:t>
      </w:r>
      <w:r w:rsidRPr="00BB4B6E">
        <w:rPr>
          <w:rStyle w:val="Emphasis"/>
          <w:rFonts w:eastAsiaTheme="majorEastAsia"/>
          <w:color w:val="0E101A"/>
        </w:rPr>
        <w:t>et al</w:t>
      </w:r>
      <w:r w:rsidRPr="00BB4B6E">
        <w:rPr>
          <w:color w:val="0E101A"/>
        </w:rPr>
        <w:t xml:space="preserve">., 2017). Dry weight was also reported to increase when NPK encapsulated carbon nanoparticles were used by various studies. The increases recorded were for maize (10.93 %) (Melika </w:t>
      </w:r>
      <w:r w:rsidRPr="00BB4B6E">
        <w:rPr>
          <w:rStyle w:val="Emphasis"/>
          <w:rFonts w:eastAsiaTheme="majorEastAsia"/>
          <w:color w:val="0E101A"/>
        </w:rPr>
        <w:t>et al</w:t>
      </w:r>
      <w:r w:rsidRPr="00BB4B6E">
        <w:rPr>
          <w:color w:val="0E101A"/>
        </w:rPr>
        <w:t xml:space="preserve">., 2015), vegetables (12.34 %) (Prasad </w:t>
      </w:r>
      <w:r w:rsidRPr="00BB4B6E">
        <w:rPr>
          <w:rStyle w:val="Emphasis"/>
          <w:rFonts w:eastAsiaTheme="majorEastAsia"/>
          <w:color w:val="0E101A"/>
        </w:rPr>
        <w:t>et al</w:t>
      </w:r>
      <w:r w:rsidRPr="00BB4B6E">
        <w:rPr>
          <w:color w:val="0E101A"/>
        </w:rPr>
        <w:t xml:space="preserve">., 2012), rice (19.76 %) (Muhammad </w:t>
      </w:r>
      <w:r w:rsidRPr="00BB4B6E">
        <w:rPr>
          <w:rStyle w:val="Emphasis"/>
          <w:rFonts w:eastAsiaTheme="majorEastAsia"/>
          <w:color w:val="0E101A"/>
        </w:rPr>
        <w:t>et al</w:t>
      </w:r>
      <w:r w:rsidRPr="00BB4B6E">
        <w:rPr>
          <w:color w:val="0E101A"/>
        </w:rPr>
        <w:t xml:space="preserve">., 2019), soybean (19.74 %) and wheat (28.81 %) (Muhammad </w:t>
      </w:r>
      <w:r w:rsidRPr="00BB4B6E">
        <w:rPr>
          <w:rStyle w:val="Emphasis"/>
          <w:rFonts w:eastAsiaTheme="majorEastAsia"/>
          <w:color w:val="0E101A"/>
        </w:rPr>
        <w:t>et al</w:t>
      </w:r>
      <w:r w:rsidRPr="00BB4B6E">
        <w:rPr>
          <w:color w:val="0E101A"/>
        </w:rPr>
        <w:t xml:space="preserve">., 2019), and passion fruit (128 %) (Giraldo </w:t>
      </w:r>
      <w:r w:rsidRPr="00BB4B6E">
        <w:rPr>
          <w:rStyle w:val="Emphasis"/>
          <w:rFonts w:eastAsiaTheme="majorEastAsia"/>
          <w:color w:val="0E101A"/>
        </w:rPr>
        <w:t>et al</w:t>
      </w:r>
      <w:r w:rsidRPr="00BB4B6E">
        <w:rPr>
          <w:color w:val="0E101A"/>
        </w:rPr>
        <w:t xml:space="preserve">., 2014). Pramod </w:t>
      </w:r>
      <w:r w:rsidRPr="00BB4B6E">
        <w:rPr>
          <w:rStyle w:val="Emphasis"/>
          <w:rFonts w:eastAsiaTheme="majorEastAsia"/>
          <w:color w:val="0E101A"/>
        </w:rPr>
        <w:t>et al</w:t>
      </w:r>
      <w:r w:rsidRPr="00BB4B6E">
        <w:rPr>
          <w:color w:val="0E101A"/>
        </w:rPr>
        <w:t xml:space="preserve">. (2013) used ZnO nanofertilizers to enhance barley dry weight by 62 %. Similarly, synthetic hydroxyapatite nanoparticles have been used to increase dry weight in soy bean by 75.5 % (Zhangwei </w:t>
      </w:r>
      <w:r w:rsidRPr="00BB4B6E">
        <w:rPr>
          <w:i/>
          <w:color w:val="0E101A"/>
        </w:rPr>
        <w:t>et al</w:t>
      </w:r>
      <w:r w:rsidRPr="00BB4B6E">
        <w:rPr>
          <w:color w:val="0E101A"/>
        </w:rPr>
        <w:t xml:space="preserve">., 2019), soy bean by 20 % (Liu and Lal, 2014). </w:t>
      </w:r>
      <w:r w:rsidRPr="00BB4B6E">
        <w:t xml:space="preserve">On the other hand, </w:t>
      </w:r>
      <w:r w:rsidRPr="00BB4B6E">
        <w:rPr>
          <w:noProof/>
        </w:rPr>
        <w:t xml:space="preserve">Yuvakkumar </w:t>
      </w:r>
      <w:r w:rsidRPr="00BB4B6E">
        <w:rPr>
          <w:rStyle w:val="Emphasis"/>
          <w:rFonts w:eastAsiaTheme="majorEastAsia"/>
          <w:color w:val="0E101A"/>
        </w:rPr>
        <w:t>et al</w:t>
      </w:r>
      <w:r w:rsidRPr="00BB4B6E">
        <w:rPr>
          <w:color w:val="0E101A"/>
        </w:rPr>
        <w:t>. (2011) used SiO</w:t>
      </w:r>
      <w:r w:rsidRPr="00BB4B6E">
        <w:rPr>
          <w:color w:val="0E101A"/>
          <w:vertAlign w:val="subscript"/>
        </w:rPr>
        <w:t xml:space="preserve">2 </w:t>
      </w:r>
      <w:r w:rsidRPr="00BB4B6E">
        <w:rPr>
          <w:color w:val="0E101A"/>
        </w:rPr>
        <w:t xml:space="preserve">nano fertilizers as a foliar spray to enhance number of leaves and increase maize yield by 600 Kg/Ha. The increase in growth performance is attributed to gradual release of nutrients to the plant when required (Mohammed </w:t>
      </w:r>
      <w:r w:rsidRPr="00BB4B6E">
        <w:rPr>
          <w:i/>
          <w:color w:val="0E101A"/>
        </w:rPr>
        <w:t>et al</w:t>
      </w:r>
      <w:r w:rsidRPr="00BB4B6E">
        <w:rPr>
          <w:color w:val="0E101A"/>
        </w:rPr>
        <w:t xml:space="preserve">., 2019; Song </w:t>
      </w:r>
      <w:r w:rsidRPr="00BB4B6E">
        <w:rPr>
          <w:rStyle w:val="Emphasis"/>
          <w:rFonts w:eastAsiaTheme="majorEastAsia"/>
          <w:color w:val="0E101A"/>
        </w:rPr>
        <w:t>et al</w:t>
      </w:r>
      <w:r w:rsidRPr="00BB4B6E">
        <w:rPr>
          <w:color w:val="0E101A"/>
        </w:rPr>
        <w:t>., 2013).</w:t>
      </w:r>
    </w:p>
    <w:p w:rsidR="00F934C1" w:rsidRPr="00BB4B6E" w:rsidRDefault="00F934C1" w:rsidP="00F934C1">
      <w:pPr>
        <w:rPr>
          <w:color w:val="0E101A"/>
        </w:rPr>
      </w:pPr>
    </w:p>
    <w:p w:rsidR="00F934C1" w:rsidRPr="00BB4B6E" w:rsidRDefault="00F934C1" w:rsidP="00F934C1">
      <w:pPr>
        <w:rPr>
          <w:color w:val="0E101A"/>
        </w:rPr>
      </w:pPr>
      <w:r w:rsidRPr="00BB4B6E">
        <w:rPr>
          <w:color w:val="0E101A"/>
        </w:rPr>
        <w:t xml:space="preserve">Studies by Raliya </w:t>
      </w:r>
      <w:r w:rsidRPr="00BB4B6E">
        <w:rPr>
          <w:i/>
          <w:iCs/>
          <w:color w:val="0E101A"/>
        </w:rPr>
        <w:t>et al</w:t>
      </w:r>
      <w:r w:rsidRPr="00BB4B6E">
        <w:rPr>
          <w:color w:val="0E101A"/>
        </w:rPr>
        <w:t>. (2015), titanium (IV) oxide nanoparticles were used to increase the growth of mung bean (</w:t>
      </w:r>
      <w:r w:rsidRPr="00BB4B6E">
        <w:rPr>
          <w:i/>
          <w:iCs/>
          <w:color w:val="0E101A"/>
        </w:rPr>
        <w:t>Vigra radiate L</w:t>
      </w:r>
      <w:r w:rsidRPr="00BB4B6E">
        <w:rPr>
          <w:color w:val="0E101A"/>
        </w:rPr>
        <w:t xml:space="preserve">.) by bio fertilization. Carbon nanoparticles encapsulated with fertilizer were found to increase dry weight of </w:t>
      </w:r>
      <w:r w:rsidRPr="00BB4B6E">
        <w:rPr>
          <w:color w:val="0E101A"/>
        </w:rPr>
        <w:lastRenderedPageBreak/>
        <w:t xml:space="preserve">soybean by 12.12 % in comparison with the control (Prasad </w:t>
      </w:r>
      <w:r w:rsidRPr="00BB4B6E">
        <w:rPr>
          <w:i/>
          <w:iCs/>
          <w:color w:val="0E101A"/>
        </w:rPr>
        <w:t>et al</w:t>
      </w:r>
      <w:r w:rsidRPr="00BB4B6E">
        <w:rPr>
          <w:color w:val="0E101A"/>
        </w:rPr>
        <w:t xml:space="preserve">., 2012). Sun and co-researchers using biochar nanoparticles also reported an increase of 10.69 % of dry weight biomass and 51.5 % in leaves number in comparison with the control (Sun </w:t>
      </w:r>
      <w:r w:rsidRPr="00BB4B6E">
        <w:rPr>
          <w:i/>
          <w:iCs/>
          <w:color w:val="0E101A"/>
        </w:rPr>
        <w:t>et al</w:t>
      </w:r>
      <w:r w:rsidRPr="00BB4B6E">
        <w:rPr>
          <w:color w:val="0E101A"/>
        </w:rPr>
        <w:t xml:space="preserve">., 2020). Zhang </w:t>
      </w:r>
      <w:r w:rsidRPr="00BB4B6E">
        <w:rPr>
          <w:i/>
          <w:iCs/>
          <w:color w:val="0E101A"/>
        </w:rPr>
        <w:t>et al</w:t>
      </w:r>
      <w:r w:rsidRPr="00BB4B6E">
        <w:rPr>
          <w:color w:val="0E101A"/>
        </w:rPr>
        <w:t>. (2019) noted that the application of TiO</w:t>
      </w:r>
      <w:r w:rsidRPr="00BB4B6E">
        <w:rPr>
          <w:color w:val="0E101A"/>
          <w:vertAlign w:val="subscript"/>
        </w:rPr>
        <w:t>2</w:t>
      </w:r>
      <w:r w:rsidRPr="00BB4B6E">
        <w:rPr>
          <w:color w:val="0E101A"/>
        </w:rPr>
        <w:t xml:space="preserve"> at a 2.5 % (w/w) level was reported to increase dry weight biomass in spinach by 3.13 %.</w:t>
      </w:r>
    </w:p>
    <w:p w:rsidR="00F934C1" w:rsidRPr="00BB4B6E" w:rsidRDefault="00F934C1" w:rsidP="00F934C1">
      <w:pPr>
        <w:rPr>
          <w:color w:val="0E101A"/>
        </w:rPr>
      </w:pPr>
    </w:p>
    <w:p w:rsidR="00F934C1" w:rsidRPr="00BB4B6E" w:rsidRDefault="00F934C1" w:rsidP="00273AE8">
      <w:pPr>
        <w:rPr>
          <w:color w:val="0E101A"/>
        </w:rPr>
      </w:pPr>
      <w:r>
        <w:rPr>
          <w:color w:val="0E101A"/>
        </w:rPr>
        <w:t>This implies that the</w:t>
      </w:r>
      <w:r w:rsidRPr="00BB4B6E">
        <w:rPr>
          <w:color w:val="0E101A"/>
        </w:rPr>
        <w:t xml:space="preserve"> use of nanoparticles is essential in agricultural revolution to increase food quality and quantity to feed the sporadic growing population. This is in support of fact that the nanoparticles have more enhanced number of adsorption sites that provides larger exposed surface area to volume ratio for higher immobilization of toxic heavy metals and more controlled nutrient release to the crops when needed, thereby increasing growth performance and safety as reported above by various researchers. However most of the reported nanoparticles above that have shown to play such a key role in food production are too expensive to synthesize, thereby increasing cost of food production. This study used bone nanoparticles and its encapsulation to check of Cd and Pb uptake and growth performance in kales, spinach and beans. This is because bone nanoparticles are non-toxic, have stable adsorption sites and are cheaply available.</w:t>
      </w:r>
    </w:p>
    <w:p w:rsidR="00F934C1" w:rsidRPr="00BB4B6E" w:rsidRDefault="00F934C1" w:rsidP="00273AE8">
      <w:pPr>
        <w:rPr>
          <w:color w:val="0E101A"/>
        </w:rPr>
      </w:pPr>
    </w:p>
    <w:p w:rsidR="00F934C1" w:rsidRPr="00BB4B6E" w:rsidRDefault="00F934C1" w:rsidP="00273AE8">
      <w:pPr>
        <w:pStyle w:val="Heading2"/>
        <w:spacing w:before="0"/>
      </w:pPr>
      <w:bookmarkStart w:id="65" w:name="_Toc144820007"/>
      <w:r w:rsidRPr="00BB4B6E">
        <w:t>2.6 Nano-fertilizer Thermodynamics</w:t>
      </w:r>
      <w:bookmarkEnd w:id="65"/>
    </w:p>
    <w:p w:rsidR="00F934C1" w:rsidRPr="00BB4B6E" w:rsidRDefault="00F934C1" w:rsidP="00F934C1">
      <w:pPr>
        <w:rPr>
          <w:color w:val="0E101A"/>
        </w:rPr>
      </w:pPr>
      <w:r>
        <w:rPr>
          <w:color w:val="0E101A"/>
        </w:rPr>
        <w:t>The thermo dynamic</w:t>
      </w:r>
      <w:r w:rsidRPr="00BB4B6E">
        <w:rPr>
          <w:color w:val="0E101A"/>
        </w:rPr>
        <w:t xml:space="preserve"> concepts of nanofertilizers are anchored on the 2</w:t>
      </w:r>
      <w:r w:rsidRPr="00BB4B6E">
        <w:rPr>
          <w:color w:val="0E101A"/>
          <w:vertAlign w:val="superscript"/>
        </w:rPr>
        <w:t>nd</w:t>
      </w:r>
      <w:r w:rsidRPr="00BB4B6E">
        <w:rPr>
          <w:color w:val="0E101A"/>
        </w:rPr>
        <w:t xml:space="preserve"> law of thermodynamics, which states that the entropy (S) of the particles is linearly proportional to the randomness of its system. Nanoparticles have more particulates per unit volume compared to ordinary commercial fertilizers; hence they have higher entropy which is linearly proportional to Gibb's free energy. Nanoparticles </w:t>
      </w:r>
      <w:r w:rsidRPr="00BB4B6E">
        <w:rPr>
          <w:color w:val="0E101A"/>
        </w:rPr>
        <w:lastRenderedPageBreak/>
        <w:t xml:space="preserve">have higher Gibb’s free energy (G) which increases its kinetic energy to </w:t>
      </w:r>
      <w:r w:rsidRPr="00BB4B6E">
        <w:t>hasten</w:t>
      </w:r>
      <w:r w:rsidRPr="00BB4B6E">
        <w:rPr>
          <w:color w:val="0E101A"/>
        </w:rPr>
        <w:t xml:space="preserve"> particulate movement (Hameed </w:t>
      </w:r>
      <w:r w:rsidRPr="00BB4B6E">
        <w:rPr>
          <w:i/>
          <w:iCs/>
          <w:color w:val="0E101A"/>
        </w:rPr>
        <w:t>et al</w:t>
      </w:r>
      <w:r w:rsidRPr="00BB4B6E">
        <w:rPr>
          <w:color w:val="0E101A"/>
        </w:rPr>
        <w:t xml:space="preserve">., 2017; Bertazzo </w:t>
      </w:r>
      <w:r w:rsidRPr="00BB4B6E">
        <w:rPr>
          <w:i/>
          <w:iCs/>
          <w:color w:val="0E101A"/>
        </w:rPr>
        <w:t>et al</w:t>
      </w:r>
      <w:r w:rsidRPr="00BB4B6E">
        <w:rPr>
          <w:color w:val="0E101A"/>
        </w:rPr>
        <w:t>., 2010). This increases nanoparticles mobility across the experimental soil structure surrounding the plant. This explains why there is more controlled release of nutrients by the nano-fertilizers in comparison with commercial fertilizers. Change in</w:t>
      </w:r>
      <w:r>
        <w:rPr>
          <w:color w:val="0E101A"/>
        </w:rPr>
        <w:t xml:space="preserve"> Gibbs free energy is given by E</w:t>
      </w:r>
      <w:r w:rsidRPr="00BB4B6E">
        <w:rPr>
          <w:color w:val="0E101A"/>
        </w:rPr>
        <w:t>quation 2.1;</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NormalWeb"/>
        <w:spacing w:before="0" w:beforeAutospacing="0" w:after="0" w:afterAutospacing="0" w:line="480" w:lineRule="auto"/>
        <w:rPr>
          <w:color w:val="0E101A"/>
        </w:rPr>
      </w:pPr>
      <w:r w:rsidRPr="00BB4B6E">
        <w:rPr>
          <w:color w:val="0E101A"/>
        </w:rPr>
        <w:t>ΔG = ΔH – TΔS                                                                           (2.1)</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NormalWeb"/>
        <w:spacing w:before="0" w:beforeAutospacing="0" w:after="0" w:afterAutospacing="0" w:line="480" w:lineRule="auto"/>
        <w:rPr>
          <w:color w:val="0E101A"/>
        </w:rPr>
      </w:pPr>
      <w:r w:rsidRPr="00BB4B6E">
        <w:rPr>
          <w:color w:val="0E101A"/>
        </w:rPr>
        <w:t>ΔG = Gibb’s free energy change</w:t>
      </w:r>
    </w:p>
    <w:p w:rsidR="00F934C1" w:rsidRPr="00BB4B6E" w:rsidRDefault="00F934C1" w:rsidP="00F934C1">
      <w:pPr>
        <w:pStyle w:val="NormalWeb"/>
        <w:spacing w:before="0" w:beforeAutospacing="0" w:after="0" w:afterAutospacing="0" w:line="480" w:lineRule="auto"/>
        <w:rPr>
          <w:color w:val="0E101A"/>
        </w:rPr>
      </w:pPr>
      <w:r w:rsidRPr="00BB4B6E">
        <w:rPr>
          <w:color w:val="0E101A"/>
        </w:rPr>
        <w:t>ΔH = Enthalpy change of the reaction</w:t>
      </w:r>
    </w:p>
    <w:p w:rsidR="00F934C1" w:rsidRPr="00BB4B6E" w:rsidRDefault="00F934C1" w:rsidP="00F934C1">
      <w:pPr>
        <w:pStyle w:val="NormalWeb"/>
        <w:spacing w:before="0" w:beforeAutospacing="0" w:after="0" w:afterAutospacing="0" w:line="480" w:lineRule="auto"/>
        <w:rPr>
          <w:color w:val="0E101A"/>
        </w:rPr>
      </w:pPr>
      <w:r w:rsidRPr="00BB4B6E">
        <w:rPr>
          <w:color w:val="0E101A"/>
        </w:rPr>
        <w:t>ΔS= Entropy change of the reaction</w:t>
      </w:r>
    </w:p>
    <w:p w:rsidR="00F934C1" w:rsidRPr="00BB4B6E" w:rsidRDefault="00F934C1" w:rsidP="00F934C1">
      <w:pPr>
        <w:pStyle w:val="NormalWeb"/>
        <w:spacing w:before="0" w:beforeAutospacing="0" w:after="0" w:afterAutospacing="0" w:line="480" w:lineRule="auto"/>
        <w:rPr>
          <w:color w:val="0E101A"/>
        </w:rPr>
      </w:pPr>
      <w:r w:rsidRPr="00BB4B6E">
        <w:rPr>
          <w:color w:val="0E101A"/>
        </w:rPr>
        <w:t>T= Temperature of the reaction</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When entropy of experimental soil increases, then ΔG is more negative, implying that the reaction is spontaneous and the forward process is favored (Prasad </w:t>
      </w:r>
      <w:r w:rsidRPr="00BB4B6E">
        <w:rPr>
          <w:i/>
          <w:iCs/>
          <w:color w:val="0E101A"/>
        </w:rPr>
        <w:t>et al</w:t>
      </w:r>
      <w:r w:rsidRPr="00BB4B6E">
        <w:rPr>
          <w:color w:val="0E101A"/>
        </w:rPr>
        <w:t xml:space="preserve">., 2012; Wu </w:t>
      </w:r>
      <w:r w:rsidRPr="00BB4B6E">
        <w:rPr>
          <w:i/>
          <w:iCs/>
          <w:color w:val="0E101A"/>
        </w:rPr>
        <w:t>et al</w:t>
      </w:r>
      <w:r w:rsidRPr="00BB4B6E">
        <w:rPr>
          <w:color w:val="0E101A"/>
        </w:rPr>
        <w:t xml:space="preserve">., 2012). Hence when nHA nanoparticles are encapsulated with commercial fertilizers to make nanofertilizers, their higher entropy makes the ΔG to be negative making the adsorption reaction spontaneous and faster in the forward direction that guarantees the gradual and effective release of plant nutrients (Shojaei </w:t>
      </w:r>
      <w:r w:rsidRPr="00BB4B6E">
        <w:rPr>
          <w:i/>
          <w:iCs/>
          <w:color w:val="0E101A"/>
        </w:rPr>
        <w:t>et al</w:t>
      </w:r>
      <w:r w:rsidRPr="00BB4B6E">
        <w:rPr>
          <w:color w:val="0E101A"/>
        </w:rPr>
        <w:t xml:space="preserve">., 2019; Montanzeri </w:t>
      </w:r>
      <w:r w:rsidRPr="00BB4B6E">
        <w:rPr>
          <w:i/>
          <w:iCs/>
          <w:color w:val="0E101A"/>
        </w:rPr>
        <w:t>et al</w:t>
      </w:r>
      <w:r w:rsidRPr="00BB4B6E">
        <w:rPr>
          <w:color w:val="0E101A"/>
        </w:rPr>
        <w:t xml:space="preserve">., 2010). Therefore the negative change in Gibbs free energy increase the rate of penetration of nano-fertilizers inside the experimental soil structure (Dubey </w:t>
      </w:r>
      <w:r w:rsidRPr="00BB4B6E">
        <w:rPr>
          <w:i/>
          <w:iCs/>
          <w:color w:val="0E101A"/>
        </w:rPr>
        <w:t>et al</w:t>
      </w:r>
      <w:r w:rsidRPr="00BB4B6E">
        <w:rPr>
          <w:color w:val="0E101A"/>
        </w:rPr>
        <w:t xml:space="preserve">., 2016; Cai </w:t>
      </w:r>
      <w:r w:rsidRPr="00BB4B6E">
        <w:rPr>
          <w:i/>
          <w:iCs/>
          <w:color w:val="0E101A"/>
        </w:rPr>
        <w:t>et al</w:t>
      </w:r>
      <w:r w:rsidRPr="00BB4B6E">
        <w:rPr>
          <w:color w:val="0E101A"/>
        </w:rPr>
        <w:t xml:space="preserve">., 2014; Nilwala </w:t>
      </w:r>
      <w:r w:rsidRPr="00BB4B6E">
        <w:rPr>
          <w:i/>
          <w:iCs/>
          <w:color w:val="0E101A"/>
        </w:rPr>
        <w:t>et al</w:t>
      </w:r>
      <w:r w:rsidRPr="00BB4B6E">
        <w:rPr>
          <w:color w:val="0E101A"/>
        </w:rPr>
        <w:t>., 2011).</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Heading2"/>
      </w:pPr>
      <w:bookmarkStart w:id="66" w:name="_Toc114763374"/>
      <w:bookmarkStart w:id="67" w:name="_Toc144820008"/>
      <w:r w:rsidRPr="00BB4B6E">
        <w:lastRenderedPageBreak/>
        <w:t xml:space="preserve">2.7 </w:t>
      </w:r>
      <w:r w:rsidRPr="00FF635A">
        <w:t>Effects</w:t>
      </w:r>
      <w:r w:rsidRPr="00BB4B6E">
        <w:t xml:space="preserve"> of Experimental Conditions on Adsorption of Cd and Pb</w:t>
      </w:r>
      <w:bookmarkEnd w:id="66"/>
      <w:bookmarkEnd w:id="67"/>
    </w:p>
    <w:p w:rsidR="00F934C1" w:rsidRPr="00BB4B6E" w:rsidRDefault="00F934C1" w:rsidP="00273AE8">
      <w:pPr>
        <w:rPr>
          <w:color w:val="14261D"/>
        </w:rPr>
      </w:pPr>
      <w:r w:rsidRPr="00BB4B6E">
        <w:rPr>
          <w:color w:val="1A2C24"/>
        </w:rPr>
        <w:t>The effic</w:t>
      </w:r>
      <w:r w:rsidRPr="00BB4B6E">
        <w:rPr>
          <w:color w:val="000E04"/>
        </w:rPr>
        <w:t>i</w:t>
      </w:r>
      <w:r w:rsidRPr="00BB4B6E">
        <w:rPr>
          <w:color w:val="1A2C24"/>
        </w:rPr>
        <w:t>enc</w:t>
      </w:r>
      <w:r w:rsidRPr="00BB4B6E">
        <w:rPr>
          <w:color w:val="33443E"/>
        </w:rPr>
        <w:t xml:space="preserve">y </w:t>
      </w:r>
      <w:r w:rsidRPr="00BB4B6E">
        <w:rPr>
          <w:color w:val="1A2C24"/>
        </w:rPr>
        <w:t xml:space="preserve">of nano-fertilizers is </w:t>
      </w:r>
      <w:r w:rsidRPr="00BB4B6E">
        <w:rPr>
          <w:color w:val="33443E"/>
        </w:rPr>
        <w:t>s</w:t>
      </w:r>
      <w:r w:rsidRPr="00BB4B6E">
        <w:rPr>
          <w:color w:val="1A2C24"/>
        </w:rPr>
        <w:t>tron</w:t>
      </w:r>
      <w:r w:rsidRPr="00BB4B6E">
        <w:rPr>
          <w:color w:val="33443E"/>
        </w:rPr>
        <w:t>g</w:t>
      </w:r>
      <w:r w:rsidRPr="00BB4B6E">
        <w:rPr>
          <w:color w:val="1A2C24"/>
        </w:rPr>
        <w:t>l</w:t>
      </w:r>
      <w:r w:rsidRPr="00BB4B6E">
        <w:rPr>
          <w:color w:val="33443E"/>
        </w:rPr>
        <w:t xml:space="preserve">y </w:t>
      </w:r>
      <w:r w:rsidRPr="00BB4B6E">
        <w:rPr>
          <w:color w:val="1A2C24"/>
        </w:rPr>
        <w:t>influenced b</w:t>
      </w:r>
      <w:r w:rsidRPr="00BB4B6E">
        <w:rPr>
          <w:color w:val="33443E"/>
        </w:rPr>
        <w:t>y</w:t>
      </w:r>
      <w:r w:rsidRPr="00BB4B6E">
        <w:rPr>
          <w:color w:val="1A2C24"/>
        </w:rPr>
        <w:t xml:space="preserve"> the </w:t>
      </w:r>
      <w:r w:rsidRPr="00BB4B6E">
        <w:rPr>
          <w:color w:val="33443E"/>
        </w:rPr>
        <w:t xml:space="preserve">effect of initial </w:t>
      </w:r>
      <w:r w:rsidRPr="00BB4B6E">
        <w:rPr>
          <w:color w:val="1A2C24"/>
        </w:rPr>
        <w:t>pH o</w:t>
      </w:r>
      <w:r w:rsidRPr="00BB4B6E">
        <w:rPr>
          <w:color w:val="33443E"/>
        </w:rPr>
        <w:t xml:space="preserve">f media, </w:t>
      </w:r>
      <w:r w:rsidRPr="00BB4B6E">
        <w:rPr>
          <w:color w:val="2A3C35"/>
        </w:rPr>
        <w:t>adsorbent</w:t>
      </w:r>
      <w:r w:rsidRPr="00BB4B6E">
        <w:rPr>
          <w:color w:val="14261D"/>
        </w:rPr>
        <w:t xml:space="preserve"> d</w:t>
      </w:r>
      <w:r w:rsidRPr="00BB4B6E">
        <w:rPr>
          <w:color w:val="2A3C35"/>
        </w:rPr>
        <w:t>osag</w:t>
      </w:r>
      <w:r w:rsidRPr="00BB4B6E">
        <w:rPr>
          <w:color w:val="14261D"/>
        </w:rPr>
        <w:t xml:space="preserve">e, </w:t>
      </w:r>
      <w:r w:rsidRPr="00BB4B6E">
        <w:rPr>
          <w:color w:val="1A2C24"/>
        </w:rPr>
        <w:t xml:space="preserve">initial heavy metal ion concentration </w:t>
      </w:r>
      <w:r w:rsidRPr="00BB4B6E">
        <w:rPr>
          <w:color w:val="33443E"/>
        </w:rPr>
        <w:t xml:space="preserve">and </w:t>
      </w:r>
      <w:r w:rsidRPr="00BB4B6E">
        <w:rPr>
          <w:color w:val="1A2C24"/>
        </w:rPr>
        <w:t xml:space="preserve">contact time </w:t>
      </w:r>
      <w:r w:rsidRPr="00BB4B6E">
        <w:rPr>
          <w:color w:val="2A3C35"/>
        </w:rPr>
        <w:t xml:space="preserve">(Shojaei </w:t>
      </w:r>
      <w:r w:rsidRPr="00BB4B6E">
        <w:rPr>
          <w:i/>
          <w:color w:val="2A3C35"/>
        </w:rPr>
        <w:t>et al</w:t>
      </w:r>
      <w:r w:rsidRPr="00BB4B6E">
        <w:rPr>
          <w:color w:val="2A3C35"/>
        </w:rPr>
        <w:t>.</w:t>
      </w:r>
      <w:r w:rsidRPr="00BB4B6E">
        <w:rPr>
          <w:color w:val="485B56"/>
        </w:rPr>
        <w:t xml:space="preserve">, </w:t>
      </w:r>
      <w:r w:rsidRPr="00BB4B6E">
        <w:rPr>
          <w:color w:val="2A3C35"/>
        </w:rPr>
        <w:t>20</w:t>
      </w:r>
      <w:r w:rsidRPr="00BB4B6E">
        <w:rPr>
          <w:color w:val="14261D"/>
        </w:rPr>
        <w:t>1</w:t>
      </w:r>
      <w:r w:rsidRPr="00BB4B6E">
        <w:rPr>
          <w:color w:val="2A3C35"/>
        </w:rPr>
        <w:t xml:space="preserve">9; </w:t>
      </w:r>
      <w:r w:rsidRPr="00BB4B6E">
        <w:rPr>
          <w:color w:val="1A2C24"/>
        </w:rPr>
        <w:t xml:space="preserve">Wu </w:t>
      </w:r>
      <w:r w:rsidRPr="00BB4B6E">
        <w:rPr>
          <w:i/>
          <w:iCs/>
          <w:color w:val="33443E"/>
        </w:rPr>
        <w:t xml:space="preserve">et </w:t>
      </w:r>
      <w:r w:rsidRPr="00BB4B6E">
        <w:rPr>
          <w:i/>
          <w:iCs/>
          <w:color w:val="1A2C24"/>
        </w:rPr>
        <w:t>al.</w:t>
      </w:r>
      <w:r w:rsidRPr="00BB4B6E">
        <w:rPr>
          <w:i/>
          <w:iCs/>
          <w:color w:val="33443E"/>
        </w:rPr>
        <w:t xml:space="preserve">, </w:t>
      </w:r>
      <w:r w:rsidRPr="00BB4B6E">
        <w:rPr>
          <w:color w:val="1A2C24"/>
        </w:rPr>
        <w:t>20</w:t>
      </w:r>
      <w:r w:rsidRPr="00BB4B6E">
        <w:rPr>
          <w:color w:val="000E04"/>
        </w:rPr>
        <w:t>1</w:t>
      </w:r>
      <w:r w:rsidRPr="00BB4B6E">
        <w:rPr>
          <w:color w:val="1A2C24"/>
        </w:rPr>
        <w:t>2</w:t>
      </w:r>
      <w:r w:rsidRPr="00BB4B6E">
        <w:rPr>
          <w:color w:val="2A3C35"/>
        </w:rPr>
        <w:t>)</w:t>
      </w:r>
      <w:r w:rsidRPr="00BB4B6E">
        <w:rPr>
          <w:color w:val="14261D"/>
        </w:rPr>
        <w:t>.</w:t>
      </w:r>
    </w:p>
    <w:p w:rsidR="00F934C1" w:rsidRPr="00BB4B6E" w:rsidRDefault="00F934C1" w:rsidP="00273AE8">
      <w:pPr>
        <w:rPr>
          <w:color w:val="1A2C24"/>
        </w:rPr>
      </w:pPr>
    </w:p>
    <w:p w:rsidR="00F934C1" w:rsidRPr="00BB4B6E" w:rsidRDefault="00F934C1" w:rsidP="00273AE8">
      <w:pPr>
        <w:pStyle w:val="Heading3"/>
        <w:spacing w:before="0"/>
      </w:pPr>
      <w:bookmarkStart w:id="68" w:name="_Toc114763375"/>
      <w:bookmarkStart w:id="69" w:name="_Toc144820009"/>
      <w:r w:rsidRPr="00BB4B6E">
        <w:t xml:space="preserve">2.7.1 Effect of Soil </w:t>
      </w:r>
      <w:r w:rsidRPr="00FF635A">
        <w:t>pH</w:t>
      </w:r>
      <w:r w:rsidRPr="00BB4B6E">
        <w:t xml:space="preserve"> on Adsorption of Cd and Pb</w:t>
      </w:r>
      <w:bookmarkEnd w:id="68"/>
      <w:bookmarkEnd w:id="69"/>
    </w:p>
    <w:p w:rsidR="00F934C1" w:rsidRPr="00BB4B6E" w:rsidRDefault="00F934C1" w:rsidP="00273AE8">
      <w:pPr>
        <w:rPr>
          <w:color w:val="000000" w:themeColor="text1"/>
        </w:rPr>
      </w:pPr>
      <w:r w:rsidRPr="00BB4B6E">
        <w:rPr>
          <w:color w:val="000000" w:themeColor="text1"/>
        </w:rPr>
        <w:t xml:space="preserve">The adsorption process of metal ions is controlled by the soil pH which is attributed to its effects on metal ions solubility and the concentration of the counter ions on the nanoparticle surface (Montazeri </w:t>
      </w:r>
      <w:r w:rsidRPr="00BB4B6E">
        <w:rPr>
          <w:i/>
          <w:iCs/>
          <w:color w:val="000000" w:themeColor="text1"/>
        </w:rPr>
        <w:t xml:space="preserve">et al., </w:t>
      </w:r>
      <w:r w:rsidRPr="00BB4B6E">
        <w:rPr>
          <w:color w:val="000000" w:themeColor="text1"/>
        </w:rPr>
        <w:t>2010). Low soil pH controls the protonation process of the nanoparticle surface by H</w:t>
      </w:r>
      <w:r w:rsidRPr="00BB4B6E">
        <w:rPr>
          <w:color w:val="000000" w:themeColor="text1"/>
          <w:vertAlign w:val="superscript"/>
        </w:rPr>
        <w:t xml:space="preserve">+ </w:t>
      </w:r>
      <w:r w:rsidRPr="00BB4B6E">
        <w:rPr>
          <w:color w:val="000000" w:themeColor="text1"/>
        </w:rPr>
        <w:t>ions competing with Cd</w:t>
      </w:r>
      <w:r w:rsidRPr="00BB4B6E">
        <w:rPr>
          <w:color w:val="000000" w:themeColor="text1"/>
          <w:vertAlign w:val="superscript"/>
        </w:rPr>
        <w:t>2+</w:t>
      </w:r>
      <w:r w:rsidRPr="00BB4B6E">
        <w:rPr>
          <w:color w:val="000000" w:themeColor="text1"/>
        </w:rPr>
        <w:t xml:space="preserve"> and Pb</w:t>
      </w:r>
      <w:r w:rsidRPr="00BB4B6E">
        <w:rPr>
          <w:color w:val="000000" w:themeColor="text1"/>
          <w:vertAlign w:val="superscript"/>
        </w:rPr>
        <w:t>2+</w:t>
      </w:r>
      <w:r w:rsidRPr="00BB4B6E">
        <w:rPr>
          <w:color w:val="000000" w:themeColor="text1"/>
        </w:rPr>
        <w:t xml:space="preserve"> metal ions in the adsorption sites making the metal adsorption lower (Banerjee </w:t>
      </w:r>
      <w:r w:rsidRPr="00BB4B6E">
        <w:rPr>
          <w:i/>
          <w:iCs/>
          <w:color w:val="000000" w:themeColor="text1"/>
        </w:rPr>
        <w:t xml:space="preserve">et al., </w:t>
      </w:r>
      <w:r w:rsidRPr="00BB4B6E">
        <w:rPr>
          <w:color w:val="000000" w:themeColor="text1"/>
        </w:rPr>
        <w:t xml:space="preserve">2019; Das </w:t>
      </w:r>
      <w:r w:rsidRPr="00BB4B6E">
        <w:rPr>
          <w:i/>
          <w:iCs/>
          <w:color w:val="000000" w:themeColor="text1"/>
        </w:rPr>
        <w:t xml:space="preserve">et al., </w:t>
      </w:r>
      <w:r w:rsidRPr="00BB4B6E">
        <w:rPr>
          <w:color w:val="000000" w:themeColor="text1"/>
        </w:rPr>
        <w:t xml:space="preserve">2012). The nanoparticle surface becomes more positively charged thus causing repulsion between the nanoparticle surface and the positively charged metal ions (Liu &amp; Lal, 2014). Thereby the heavy metal mobility increases at extremely higher acidic conditions, thus increasing its bioavailability for uptake by crops. The adsorption is lowest at pH 2 and increases linearly as pH increases up to optimal pH of 6, (Das </w:t>
      </w:r>
      <w:r w:rsidRPr="00BB4B6E">
        <w:rPr>
          <w:i/>
          <w:iCs/>
          <w:color w:val="000000" w:themeColor="text1"/>
        </w:rPr>
        <w:t xml:space="preserve">et al., </w:t>
      </w:r>
      <w:r w:rsidRPr="00BB4B6E">
        <w:rPr>
          <w:color w:val="000000" w:themeColor="text1"/>
        </w:rPr>
        <w:t xml:space="preserve">2016). The pH 5-7 has been reported for optimum Cd adsorption by nanoparticles (Wang </w:t>
      </w:r>
      <w:r w:rsidRPr="00BB4B6E">
        <w:rPr>
          <w:i/>
          <w:iCs/>
          <w:color w:val="000000" w:themeColor="text1"/>
        </w:rPr>
        <w:t xml:space="preserve">et al., </w:t>
      </w:r>
      <w:r w:rsidRPr="00BB4B6E">
        <w:rPr>
          <w:color w:val="000000" w:themeColor="text1"/>
        </w:rPr>
        <w:t xml:space="preserve">2016). Additionally Qi </w:t>
      </w:r>
      <w:r w:rsidRPr="00BB4B6E">
        <w:rPr>
          <w:i/>
          <w:iCs/>
          <w:color w:val="000000" w:themeColor="text1"/>
        </w:rPr>
        <w:t xml:space="preserve">et al. </w:t>
      </w:r>
      <w:r w:rsidRPr="00BB4B6E">
        <w:rPr>
          <w:iCs/>
          <w:color w:val="000000" w:themeColor="text1"/>
        </w:rPr>
        <w:t>(</w:t>
      </w:r>
      <w:r w:rsidRPr="00BB4B6E">
        <w:rPr>
          <w:color w:val="000000" w:themeColor="text1"/>
        </w:rPr>
        <w:t>2020) used nano-zeolite clay to establish maximum adsorption of Pb at pH 6.</w:t>
      </w:r>
    </w:p>
    <w:p w:rsidR="00F934C1" w:rsidRPr="00BB4B6E" w:rsidRDefault="00F934C1" w:rsidP="00273AE8">
      <w:pPr>
        <w:rPr>
          <w:b/>
          <w:bCs/>
          <w:color w:val="000000" w:themeColor="text1"/>
        </w:rPr>
      </w:pPr>
    </w:p>
    <w:p w:rsidR="00F934C1" w:rsidRPr="00BB4B6E" w:rsidRDefault="00F934C1" w:rsidP="00273AE8">
      <w:pPr>
        <w:pStyle w:val="Heading3"/>
        <w:spacing w:before="0"/>
      </w:pPr>
      <w:bookmarkStart w:id="70" w:name="_Toc114763376"/>
      <w:bookmarkStart w:id="71" w:name="_Toc144820010"/>
      <w:r w:rsidRPr="00BB4B6E">
        <w:t xml:space="preserve">2.7.2 Effect of </w:t>
      </w:r>
      <w:r w:rsidRPr="00FF635A">
        <w:t>Adsorbent</w:t>
      </w:r>
      <w:r w:rsidRPr="00BB4B6E">
        <w:t xml:space="preserve"> Dosage on Adsorption of Cd and Pb</w:t>
      </w:r>
      <w:bookmarkEnd w:id="70"/>
      <w:bookmarkEnd w:id="71"/>
    </w:p>
    <w:p w:rsidR="00F934C1" w:rsidRPr="00BB4B6E" w:rsidRDefault="00F934C1" w:rsidP="00273AE8">
      <w:r w:rsidRPr="00BB4B6E">
        <w:rPr>
          <w:color w:val="000000" w:themeColor="text1"/>
        </w:rPr>
        <w:t xml:space="preserve">The amount of adsorbent dosage affects the adsorption process. </w:t>
      </w:r>
      <w:r w:rsidRPr="00BB4B6E">
        <w:t xml:space="preserve">The higher the adsorbent dosage, the higher the adsorptive capacity which is attributed to the increase in number of adsorption sites on the exposed adsorbent surface area (Singh </w:t>
      </w:r>
      <w:r w:rsidRPr="00BB4B6E">
        <w:rPr>
          <w:i/>
          <w:iCs/>
        </w:rPr>
        <w:t xml:space="preserve">et al., </w:t>
      </w:r>
      <w:r w:rsidRPr="00BB4B6E">
        <w:t xml:space="preserve">2018). However at very high adsorbent dosage the adsorption process declines </w:t>
      </w:r>
      <w:r w:rsidRPr="00BB4B6E">
        <w:lastRenderedPageBreak/>
        <w:t xml:space="preserve">due to partial aggregation of the adsorbent causing overlapping of active adsorption sites (Piao </w:t>
      </w:r>
      <w:r w:rsidRPr="00BB4B6E">
        <w:rPr>
          <w:i/>
          <w:iCs/>
        </w:rPr>
        <w:t xml:space="preserve">et al., </w:t>
      </w:r>
      <w:r w:rsidRPr="00BB4B6E">
        <w:t xml:space="preserve">2012). This is supported by research done by Hameed </w:t>
      </w:r>
      <w:r w:rsidRPr="00BB4B6E">
        <w:rPr>
          <w:i/>
        </w:rPr>
        <w:t>et al</w:t>
      </w:r>
      <w:r w:rsidRPr="00BB4B6E">
        <w:t xml:space="preserve">. (2017), that established that zinc (Zn) adsorption was highest at 99.22 % (dosage 3.5 g/L), 95 % (dosage 4.0 g/L), 98 % (dosage 3.0 g/L), 89 % (dosage 2.5 g/L) and  86 % (dosage 2.0 g/L)) using carbon nano-tubes. On the other hand, it was 93 % (dosage 3.0 g/L), 86 % (dosage 2.5 g/L), 85 % (dosage 2.0 g/L) and 79 % (dosage 1.5 g/L), for removal of lead using carbon nano-tubes (Hameed </w:t>
      </w:r>
      <w:r w:rsidRPr="00BB4B6E">
        <w:rPr>
          <w:i/>
        </w:rPr>
        <w:t>et al</w:t>
      </w:r>
      <w:r w:rsidRPr="00BB4B6E">
        <w:t>., 2017).</w:t>
      </w:r>
    </w:p>
    <w:p w:rsidR="00F934C1" w:rsidRPr="00BB4B6E" w:rsidRDefault="00F934C1" w:rsidP="00273AE8">
      <w:pPr>
        <w:spacing w:line="240" w:lineRule="auto"/>
        <w:rPr>
          <w:b/>
          <w:bCs/>
          <w:color w:val="14261D"/>
        </w:rPr>
      </w:pPr>
    </w:p>
    <w:p w:rsidR="00F934C1" w:rsidRPr="00BB4B6E" w:rsidRDefault="00F934C1" w:rsidP="00273AE8">
      <w:pPr>
        <w:pStyle w:val="Heading3"/>
        <w:spacing w:before="0"/>
      </w:pPr>
      <w:bookmarkStart w:id="72" w:name="_Toc114763377"/>
      <w:bookmarkStart w:id="73" w:name="_Toc144820011"/>
      <w:r w:rsidRPr="00BB4B6E">
        <w:t>2.7.3 Effect of Contact Time on Adsorption of Cd and Pb</w:t>
      </w:r>
      <w:bookmarkEnd w:id="72"/>
      <w:bookmarkEnd w:id="73"/>
    </w:p>
    <w:p w:rsidR="00F934C1" w:rsidRPr="00BB4B6E" w:rsidRDefault="00F934C1" w:rsidP="00F934C1">
      <w:r w:rsidRPr="00BB4B6E">
        <w:t xml:space="preserve">Adsorbent efficiency is measured in correlation with the contact time of adsorbate and adsorbent, but the shorter the adsorption time, the higher the efficacy of the adsorbent (Lateef </w:t>
      </w:r>
      <w:r w:rsidRPr="00BB4B6E">
        <w:rPr>
          <w:i/>
          <w:iCs/>
        </w:rPr>
        <w:t xml:space="preserve">et al., </w:t>
      </w:r>
      <w:r w:rsidRPr="00BB4B6E">
        <w:t xml:space="preserve">2016). Therefore, controlling the residence time for metal ions adsorption on the adsorbent surface determines the rate of metal ion uptake and metal ion activity on adsorbent surface (Ling </w:t>
      </w:r>
      <w:r w:rsidRPr="00BB4B6E">
        <w:rPr>
          <w:i/>
          <w:iCs/>
        </w:rPr>
        <w:t xml:space="preserve">et al., </w:t>
      </w:r>
      <w:r w:rsidRPr="00BB4B6E">
        <w:rPr>
          <w:iCs/>
        </w:rPr>
        <w:t>2017</w:t>
      </w:r>
      <w:r w:rsidRPr="00BB4B6E">
        <w:rPr>
          <w:i/>
          <w:iCs/>
        </w:rPr>
        <w:t xml:space="preserve">; </w:t>
      </w:r>
      <w:r w:rsidRPr="00BB4B6E">
        <w:t xml:space="preserve">Bertazzo </w:t>
      </w:r>
      <w:r w:rsidRPr="00BB4B6E">
        <w:rPr>
          <w:i/>
          <w:iCs/>
        </w:rPr>
        <w:t xml:space="preserve">et al., </w:t>
      </w:r>
      <w:r w:rsidRPr="00BB4B6E">
        <w:t>2010). When adsorption reaches the point at which the amount of ions adsorbing is equal to amount being desorbed the process is said to be in a state of dynamic equilibrium (</w:t>
      </w:r>
      <w:r w:rsidRPr="00BB4B6E">
        <w:rPr>
          <w:rFonts w:eastAsiaTheme="minorHAnsi"/>
        </w:rPr>
        <w:t xml:space="preserve">Tarafder </w:t>
      </w:r>
      <w:r w:rsidRPr="00BB4B6E">
        <w:rPr>
          <w:i/>
        </w:rPr>
        <w:t>et al</w:t>
      </w:r>
      <w:r w:rsidRPr="00BB4B6E">
        <w:t>., 2020).</w:t>
      </w:r>
    </w:p>
    <w:p w:rsidR="00F934C1" w:rsidRPr="00BB4B6E" w:rsidRDefault="00F934C1" w:rsidP="00F934C1"/>
    <w:p w:rsidR="00F934C1" w:rsidRPr="00BB4B6E" w:rsidRDefault="00F934C1" w:rsidP="00273AE8">
      <w:r w:rsidRPr="00BB4B6E">
        <w:t xml:space="preserve">Studies using carbon nano-tubes reported copper removal of 64 % in 30 minutes 84 % in 80 minutes (Banerjee </w:t>
      </w:r>
      <w:r w:rsidRPr="00BB4B6E">
        <w:rPr>
          <w:i/>
          <w:iCs/>
        </w:rPr>
        <w:t xml:space="preserve">et al., </w:t>
      </w:r>
      <w:r w:rsidRPr="00BB4B6E">
        <w:t xml:space="preserve">2019). Whereas Piao </w:t>
      </w:r>
      <w:r w:rsidRPr="00BB4B6E">
        <w:rPr>
          <w:i/>
        </w:rPr>
        <w:t>et al</w:t>
      </w:r>
      <w:r w:rsidRPr="00BB4B6E">
        <w:t>., (2012) reported that contact time of 30 minutes attained 71.47 % adsorption of copper and 120 minutes for a 99.9% removal of lead. Equilibrium time for Cu</w:t>
      </w:r>
      <w:r w:rsidRPr="00BB4B6E">
        <w:rPr>
          <w:vertAlign w:val="superscript"/>
        </w:rPr>
        <w:t>2+</w:t>
      </w:r>
      <w:r w:rsidRPr="00BB4B6E">
        <w:t xml:space="preserve"> and Pb</w:t>
      </w:r>
      <w:r w:rsidRPr="00BB4B6E">
        <w:rPr>
          <w:vertAlign w:val="superscript"/>
        </w:rPr>
        <w:t>2+</w:t>
      </w:r>
      <w:r w:rsidRPr="00BB4B6E">
        <w:t xml:space="preserve">on ZnO nanoparticles was achieved within 120 minutes with 94 % and 100 % removal respectively (Calin </w:t>
      </w:r>
      <w:r w:rsidRPr="00BB4B6E">
        <w:rPr>
          <w:i/>
          <w:iCs/>
        </w:rPr>
        <w:t xml:space="preserve">et al., </w:t>
      </w:r>
      <w:r w:rsidRPr="00BB4B6E">
        <w:rPr>
          <w:iCs/>
        </w:rPr>
        <w:t>2012</w:t>
      </w:r>
      <w:r w:rsidRPr="00BB4B6E">
        <w:rPr>
          <w:i/>
          <w:iCs/>
        </w:rPr>
        <w:t>)</w:t>
      </w:r>
      <w:r w:rsidRPr="00BB4B6E">
        <w:rPr>
          <w:iCs/>
        </w:rPr>
        <w:t xml:space="preserve">. </w:t>
      </w:r>
      <w:r w:rsidRPr="00BB4B6E">
        <w:t xml:space="preserve">Similarly, other studies achieved equilibrium time of 120 minutes reporting in carbon nano-tubes for cadmium (Janan </w:t>
      </w:r>
      <w:r w:rsidRPr="00BB4B6E">
        <w:rPr>
          <w:i/>
          <w:iCs/>
        </w:rPr>
        <w:t xml:space="preserve">et al., </w:t>
      </w:r>
      <w:r w:rsidRPr="00BB4B6E">
        <w:t>2014</w:t>
      </w:r>
      <w:r>
        <w:t>)</w:t>
      </w:r>
      <w:r w:rsidRPr="00BB4B6E">
        <w:t xml:space="preserve">. </w:t>
      </w:r>
      <w:r w:rsidRPr="00BB4B6E">
        <w:lastRenderedPageBreak/>
        <w:t>Therefore, from these studies, 2 hours is optimal time for maximum adsorption of heavy metals from aqueous ions of their solutions, explaining why this 2 hours contact time was used in this study.</w:t>
      </w:r>
    </w:p>
    <w:p w:rsidR="00F934C1" w:rsidRPr="00BB4B6E" w:rsidRDefault="00F934C1" w:rsidP="00273AE8"/>
    <w:p w:rsidR="00F934C1" w:rsidRPr="00BB4B6E" w:rsidRDefault="00F934C1" w:rsidP="00273AE8">
      <w:pPr>
        <w:pStyle w:val="Heading3"/>
        <w:spacing w:before="0"/>
      </w:pPr>
      <w:bookmarkStart w:id="74" w:name="_Toc114763378"/>
      <w:bookmarkStart w:id="75" w:name="_Toc144820012"/>
      <w:r w:rsidRPr="00BB4B6E">
        <w:t>2.7.4 Effect of Initial Metal Ion Concentration on Adsorption of Cd and Pb</w:t>
      </w:r>
      <w:bookmarkEnd w:id="74"/>
      <w:bookmarkEnd w:id="75"/>
    </w:p>
    <w:p w:rsidR="00F934C1" w:rsidRPr="00BB4B6E" w:rsidRDefault="00F934C1" w:rsidP="00F934C1">
      <w:pPr>
        <w:rPr>
          <w:iCs/>
        </w:rPr>
      </w:pPr>
      <w:r w:rsidRPr="00BB4B6E">
        <w:t xml:space="preserve">Initial metal ion concentration has a strong influence on the adsorption process (Montazeri </w:t>
      </w:r>
      <w:r w:rsidRPr="00BB4B6E">
        <w:rPr>
          <w:i/>
          <w:iCs/>
        </w:rPr>
        <w:t xml:space="preserve">et al., </w:t>
      </w:r>
      <w:r w:rsidRPr="00BB4B6E">
        <w:t xml:space="preserve">2010), which is normally carried out at optimized conditions of adsorbent dosage, contact time and experimental pH by varying the metal ion concentration (Montanzeri </w:t>
      </w:r>
      <w:r w:rsidRPr="00BB4B6E">
        <w:rPr>
          <w:i/>
          <w:iCs/>
        </w:rPr>
        <w:t xml:space="preserve">et al., </w:t>
      </w:r>
      <w:r w:rsidRPr="00BB4B6E">
        <w:t xml:space="preserve">2010). At lower metal concentrations, the adsorption process is favorable. However, at increased metal ion concentrations, the adsorption efficiency decreases due to reduction of number of adsorption sites in relation with increasing metal concentration (Calin </w:t>
      </w:r>
      <w:r w:rsidRPr="00BB4B6E">
        <w:rPr>
          <w:i/>
          <w:iCs/>
        </w:rPr>
        <w:t xml:space="preserve">et al., </w:t>
      </w:r>
      <w:r w:rsidRPr="00BB4B6E">
        <w:t>2012). Study on Zn adsorption using carbon nano-tubes reported the removal efficiencies of 97 % in 10</w:t>
      </w:r>
      <w:r>
        <w:t xml:space="preserve"> </w:t>
      </w:r>
      <w:r w:rsidRPr="00BB4B6E">
        <w:t xml:space="preserve">ug/ml., 98 % in 7 ug/ml. and 99 % in 5 ug/ml (Banerjee </w:t>
      </w:r>
      <w:r w:rsidRPr="00BB4B6E">
        <w:rPr>
          <w:i/>
          <w:iCs/>
        </w:rPr>
        <w:t xml:space="preserve">et al., </w:t>
      </w:r>
      <w:r w:rsidRPr="00BB4B6E">
        <w:rPr>
          <w:iCs/>
        </w:rPr>
        <w:t>2019).</w:t>
      </w:r>
    </w:p>
    <w:p w:rsidR="00F934C1" w:rsidRPr="00BB4B6E" w:rsidRDefault="00F934C1" w:rsidP="00F934C1">
      <w:pPr>
        <w:rPr>
          <w:iCs/>
        </w:rPr>
      </w:pPr>
    </w:p>
    <w:p w:rsidR="00F934C1" w:rsidRPr="00BB4B6E" w:rsidRDefault="00F934C1" w:rsidP="00F934C1">
      <w:pPr>
        <w:pStyle w:val="Heading3"/>
      </w:pPr>
      <w:bookmarkStart w:id="76" w:name="_Toc114763379"/>
      <w:bookmarkStart w:id="77" w:name="_Toc144820013"/>
      <w:r>
        <w:t>2.7.5</w:t>
      </w:r>
      <w:r w:rsidR="00273AE8">
        <w:t xml:space="preserve"> </w:t>
      </w:r>
      <w:r w:rsidRPr="00FF635A">
        <w:t>Adsorption</w:t>
      </w:r>
      <w:r w:rsidRPr="00BB4B6E">
        <w:t xml:space="preserve"> Isotherms</w:t>
      </w:r>
      <w:bookmarkEnd w:id="76"/>
      <w:bookmarkEnd w:id="77"/>
    </w:p>
    <w:p w:rsidR="00F934C1" w:rsidRPr="00BB4B6E" w:rsidRDefault="00F934C1" w:rsidP="00F934C1">
      <w:pPr>
        <w:rPr>
          <w:color w:val="0E101A"/>
        </w:rPr>
      </w:pPr>
      <w:r w:rsidRPr="00BB4B6E">
        <w:rPr>
          <w:color w:val="0E101A"/>
        </w:rPr>
        <w:t>Adsorption is a physical or chemical process involving interactions between the surface of adsorbent and metal ions. Adsorption is accumulation of particles to form a thin film on the adsorbent surface. The Langmuir isotherm is applied to monolayer adsorption on homogenous sites. Physicochemical parameters such as substance pH and electrical conductivity (EC) influence adsorption. The linear form of Langmuir isotherm for Cd and Pb ad</w:t>
      </w:r>
      <w:r>
        <w:rPr>
          <w:color w:val="0E101A"/>
        </w:rPr>
        <w:t>sorption can be represented by E</w:t>
      </w:r>
      <w:r w:rsidRPr="00BB4B6E">
        <w:rPr>
          <w:color w:val="0E101A"/>
        </w:rPr>
        <w:t xml:space="preserve">quation (2.2) shown below (Wang </w:t>
      </w:r>
      <w:r w:rsidRPr="00BB4B6E">
        <w:rPr>
          <w:i/>
          <w:iCs/>
          <w:color w:val="0E101A"/>
        </w:rPr>
        <w:t>et al</w:t>
      </w:r>
      <w:r w:rsidRPr="00BB4B6E">
        <w:rPr>
          <w:color w:val="0E101A"/>
        </w:rPr>
        <w:t>., 2016).</w:t>
      </w:r>
    </w:p>
    <w:p w:rsidR="00F934C1" w:rsidRPr="00BB4B6E" w:rsidRDefault="00F934C1" w:rsidP="00F934C1">
      <w:pPr>
        <w:rPr>
          <w:color w:val="0E101A"/>
        </w:rPr>
      </w:pPr>
    </w:p>
    <w:p w:rsidR="00F934C1" w:rsidRPr="00BB4B6E" w:rsidRDefault="0036558A" w:rsidP="00F934C1">
      <m:oMath>
        <m:f>
          <m:fPr>
            <m:ctrlPr>
              <w:rPr>
                <w:rFonts w:ascii="Cambria Math" w:hAnsi="Cambria Math"/>
              </w:rPr>
            </m:ctrlPr>
          </m:fPr>
          <m:num>
            <m:r>
              <w:rPr>
                <w:rFonts w:ascii="Cambria Math"/>
              </w:rPr>
              <m:t>1</m:t>
            </m:r>
          </m:num>
          <m:den>
            <m:sSub>
              <m:sSubPr>
                <m:ctrlPr>
                  <w:rPr>
                    <w:rFonts w:ascii="Cambria Math" w:hAnsi="Cambria Math"/>
                    <w:color w:val="0E101A"/>
                  </w:rPr>
                </m:ctrlPr>
              </m:sSubPr>
              <m:e>
                <m:r>
                  <w:rPr>
                    <w:rFonts w:ascii="Cambria Math" w:hAnsi="Cambria Math"/>
                    <w:color w:val="0E101A"/>
                  </w:rPr>
                  <m:t>q</m:t>
                </m:r>
              </m:e>
              <m:sub>
                <m:r>
                  <w:rPr>
                    <w:rFonts w:ascii="Cambria Math" w:hAnsi="Cambria Math"/>
                    <w:color w:val="0E101A"/>
                  </w:rPr>
                  <m:t>e</m:t>
                </m:r>
              </m:sub>
            </m:sSub>
          </m:den>
        </m:f>
        <m:r>
          <w:rPr>
            <w:rFonts w:ascii="Cambria Math"/>
          </w:rPr>
          <m:t>=</m:t>
        </m:r>
        <m:f>
          <m:fPr>
            <m:ctrlPr>
              <w:rPr>
                <w:rFonts w:ascii="Cambria Math" w:hAnsi="Cambria Math"/>
              </w:rPr>
            </m:ctrlPr>
          </m:fPr>
          <m:num>
            <m:r>
              <m:rPr>
                <m:sty m:val="p"/>
              </m:rPr>
              <w:rPr>
                <w:rFonts w:ascii="Cambria Math"/>
              </w:rPr>
              <m:t>1</m:t>
            </m:r>
          </m:num>
          <m:den>
            <m:r>
              <w:rPr>
                <w:rFonts w:ascii="Cambria Math" w:hAnsi="Cambria Math"/>
              </w:rPr>
              <m:t>c</m:t>
            </m:r>
            <m:sSub>
              <m:sSubPr>
                <m:ctrlPr>
                  <w:rPr>
                    <w:rFonts w:ascii="Cambria Math" w:hAnsi="Cambria Math"/>
                    <w:color w:val="0E101A"/>
                  </w:rPr>
                </m:ctrlPr>
              </m:sSubPr>
              <m:e>
                <m:r>
                  <w:rPr>
                    <w:rFonts w:ascii="Cambria Math" w:hAnsi="Cambria Math"/>
                    <w:color w:val="0E101A"/>
                  </w:rPr>
                  <m:t>q</m:t>
                </m:r>
              </m:e>
              <m:sub>
                <m:r>
                  <w:rPr>
                    <w:rFonts w:ascii="Cambria Math" w:hAnsi="Cambria Math"/>
                    <w:color w:val="0E101A"/>
                  </w:rPr>
                  <m:t>max</m:t>
                </m:r>
              </m:sub>
            </m:sSub>
          </m:den>
        </m:f>
        <m:r>
          <w:rPr>
            <w:rFonts w:ascii="Cambria Math"/>
          </w:rPr>
          <m:t>+</m:t>
        </m:r>
        <m:f>
          <m:fPr>
            <m:ctrlPr>
              <w:rPr>
                <w:rFonts w:ascii="Cambria Math" w:hAnsi="Cambria Math"/>
              </w:rPr>
            </m:ctrlPr>
          </m:fPr>
          <m:num>
            <m:r>
              <m:rPr>
                <m:sty m:val="p"/>
              </m:rPr>
              <w:rPr>
                <w:rFonts w:ascii="Cambria Math"/>
              </w:rPr>
              <m:t>1</m:t>
            </m:r>
          </m:num>
          <m:den>
            <m:r>
              <w:rPr>
                <w:rFonts w:ascii="Cambria Math" w:hAnsi="Cambria Math"/>
              </w:rPr>
              <m:t>b</m:t>
            </m:r>
          </m:den>
        </m:f>
      </m:oMath>
      <w:r w:rsidR="00F934C1" w:rsidRPr="00BB4B6E">
        <w:t xml:space="preserve">                                                                                </w:t>
      </w:r>
      <w:r w:rsidR="00F934C1">
        <w:t xml:space="preserve">                      </w:t>
      </w:r>
      <w:r w:rsidR="00F934C1" w:rsidRPr="00BB4B6E">
        <w:t>(2.2)</w:t>
      </w:r>
    </w:p>
    <w:p w:rsidR="00F934C1" w:rsidRPr="00BB4B6E" w:rsidRDefault="00F934C1" w:rsidP="00F934C1"/>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Where; </w:t>
      </w:r>
      <w:r w:rsidRPr="00BB4B6E">
        <w:rPr>
          <w:b/>
          <w:color w:val="0E101A"/>
        </w:rPr>
        <w:t>b</w:t>
      </w:r>
      <w:r w:rsidRPr="00BB4B6E">
        <w:rPr>
          <w:color w:val="0E101A"/>
        </w:rPr>
        <w:t xml:space="preserve"> represents Langmuir binding energy, </w:t>
      </w:r>
      <w:r w:rsidRPr="00BB4B6E">
        <w:rPr>
          <w:b/>
          <w:color w:val="0E101A"/>
        </w:rPr>
        <w:t>q</w:t>
      </w:r>
      <w:r w:rsidRPr="00BB4B6E">
        <w:rPr>
          <w:b/>
          <w:color w:val="0E101A"/>
          <w:vertAlign w:val="subscript"/>
        </w:rPr>
        <w:t xml:space="preserve">max </w:t>
      </w:r>
      <w:r w:rsidRPr="00BB4B6E">
        <w:rPr>
          <w:color w:val="0E101A"/>
        </w:rPr>
        <w:t>(mg.kg</w:t>
      </w:r>
      <w:r w:rsidRPr="00BB4B6E">
        <w:rPr>
          <w:color w:val="0E101A"/>
          <w:vertAlign w:val="superscript"/>
        </w:rPr>
        <w:t>-1</w:t>
      </w:r>
      <w:r w:rsidRPr="00BB4B6E">
        <w:rPr>
          <w:color w:val="0E101A"/>
        </w:rPr>
        <w:t xml:space="preserve">) is the maximum adsorptive capacity of adsorbent, </w:t>
      </w:r>
      <w:r w:rsidRPr="00BB4B6E">
        <w:rPr>
          <w:b/>
          <w:color w:val="0E101A"/>
        </w:rPr>
        <w:t xml:space="preserve">c </w:t>
      </w:r>
      <w:r w:rsidRPr="00BB4B6E">
        <w:rPr>
          <w:color w:val="0E101A"/>
        </w:rPr>
        <w:t>(mg.dm</w:t>
      </w:r>
      <w:r w:rsidRPr="00BB4B6E">
        <w:rPr>
          <w:color w:val="0E101A"/>
          <w:vertAlign w:val="superscript"/>
        </w:rPr>
        <w:t>-1</w:t>
      </w:r>
      <w:r w:rsidRPr="00BB4B6E">
        <w:rPr>
          <w:color w:val="0E101A"/>
        </w:rPr>
        <w:t>) is the concentration of the left adsorbate experimental solution at equilibrium,</w:t>
      </w:r>
      <m:oMath>
        <m:f>
          <m:fPr>
            <m:ctrlPr>
              <w:rPr>
                <w:rFonts w:ascii="Cambria Math" w:hAnsi="Cambria Math"/>
                <w:b/>
              </w:rPr>
            </m:ctrlPr>
          </m:fPr>
          <m:num>
            <m:r>
              <m:rPr>
                <m:sty m:val="bi"/>
              </m:rPr>
              <w:rPr>
                <w:rFonts w:ascii="Cambria Math"/>
              </w:rPr>
              <m:t>1</m:t>
            </m:r>
          </m:num>
          <m:den>
            <m:r>
              <m:rPr>
                <m:sty m:val="b"/>
              </m:rPr>
              <w:rPr>
                <w:rFonts w:ascii="Cambria Math" w:hAnsi="Cambria Math"/>
              </w:rPr>
              <m:t xml:space="preserve"> </m:t>
            </m:r>
            <m:sSub>
              <m:sSubPr>
                <m:ctrlPr>
                  <w:rPr>
                    <w:rFonts w:ascii="Cambria Math" w:hAnsi="Cambria Math"/>
                    <w:b/>
                    <w:color w:val="0E101A"/>
                  </w:rPr>
                </m:ctrlPr>
              </m:sSubPr>
              <m:e>
                <m:r>
                  <m:rPr>
                    <m:sty m:val="bi"/>
                  </m:rPr>
                  <w:rPr>
                    <w:rFonts w:ascii="Cambria Math" w:hAnsi="Cambria Math"/>
                    <w:color w:val="0E101A"/>
                  </w:rPr>
                  <m:t>q</m:t>
                </m:r>
              </m:e>
              <m:sub>
                <m:r>
                  <m:rPr>
                    <m:sty m:val="bi"/>
                  </m:rPr>
                  <w:rPr>
                    <w:rFonts w:ascii="Cambria Math" w:hAnsi="Cambria Math"/>
                    <w:color w:val="0E101A"/>
                  </w:rPr>
                  <m:t>e</m:t>
                </m:r>
              </m:sub>
            </m:sSub>
          </m:den>
        </m:f>
      </m:oMath>
      <w:r w:rsidRPr="00BB4B6E">
        <w:rPr>
          <w:color w:val="0E101A"/>
        </w:rPr>
        <w:t xml:space="preserve"> is the quantity of metal ion adsorbed per unit weight of nanoparticles. The Langmuir isotherm parameters are obtained by plotting linear graph of</w:t>
      </w:r>
      <m:oMath>
        <m:r>
          <w:rPr>
            <w:rFonts w:ascii="Cambria Math" w:hAnsi="Cambria Math"/>
            <w:color w:val="0E101A"/>
          </w:rPr>
          <m:t xml:space="preserve"> </m:t>
        </m:r>
        <m:f>
          <m:fPr>
            <m:ctrlPr>
              <w:rPr>
                <w:rFonts w:ascii="Cambria Math" w:hAnsi="Cambria Math"/>
                <w:b/>
              </w:rPr>
            </m:ctrlPr>
          </m:fPr>
          <m:num>
            <m:r>
              <m:rPr>
                <m:sty m:val="bi"/>
              </m:rPr>
              <w:rPr>
                <w:rFonts w:ascii="Cambria Math"/>
              </w:rPr>
              <m:t>1</m:t>
            </m:r>
          </m:num>
          <m:den>
            <m:sSub>
              <m:sSubPr>
                <m:ctrlPr>
                  <w:rPr>
                    <w:rFonts w:ascii="Cambria Math" w:hAnsi="Cambria Math"/>
                    <w:b/>
                    <w:color w:val="0E101A"/>
                  </w:rPr>
                </m:ctrlPr>
              </m:sSubPr>
              <m:e>
                <m:r>
                  <m:rPr>
                    <m:sty m:val="bi"/>
                  </m:rPr>
                  <w:rPr>
                    <w:rFonts w:ascii="Cambria Math" w:hAnsi="Cambria Math"/>
                    <w:color w:val="0E101A"/>
                  </w:rPr>
                  <m:t>q</m:t>
                </m:r>
              </m:e>
              <m:sub>
                <m:r>
                  <m:rPr>
                    <m:sty m:val="bi"/>
                  </m:rPr>
                  <w:rPr>
                    <w:rFonts w:ascii="Cambria Math" w:hAnsi="Cambria Math"/>
                    <w:color w:val="0E101A"/>
                  </w:rPr>
                  <m:t>e</m:t>
                </m:r>
              </m:sub>
            </m:sSub>
          </m:den>
        </m:f>
      </m:oMath>
      <w:r w:rsidRPr="00BB4B6E">
        <w:rPr>
          <w:color w:val="0E101A"/>
        </w:rPr>
        <w:t>against</w:t>
      </w:r>
      <m:oMath>
        <m:f>
          <m:fPr>
            <m:ctrlPr>
              <w:rPr>
                <w:rFonts w:ascii="Cambria Math" w:hAnsi="Cambria Math"/>
                <w:b/>
              </w:rPr>
            </m:ctrlPr>
          </m:fPr>
          <m:num>
            <m:r>
              <m:rPr>
                <m:sty m:val="bi"/>
              </m:rPr>
              <w:rPr>
                <w:rFonts w:ascii="Cambria Math"/>
              </w:rPr>
              <m:t xml:space="preserve">  1</m:t>
            </m:r>
          </m:num>
          <m:den>
            <m:r>
              <m:rPr>
                <m:sty m:val="b"/>
              </m:rPr>
              <w:rPr>
                <w:rFonts w:ascii="Cambria Math" w:hAnsi="Cambria Math"/>
              </w:rPr>
              <m:t>c</m:t>
            </m:r>
          </m:den>
        </m:f>
      </m:oMath>
      <w:r w:rsidRPr="00BB4B6E">
        <w:rPr>
          <w:color w:val="0E101A"/>
        </w:rPr>
        <w:t xml:space="preserve">. If the data </w:t>
      </w:r>
      <w:r>
        <w:rPr>
          <w:color w:val="0E101A"/>
        </w:rPr>
        <w:t xml:space="preserve">is </w:t>
      </w:r>
      <w:r w:rsidRPr="00BB4B6E">
        <w:rPr>
          <w:color w:val="0E101A"/>
        </w:rPr>
        <w:t>linear, then the Langmuir isotherm model is appropriately fitted with correlation coefficient R</w:t>
      </w:r>
      <w:r w:rsidRPr="00BB4B6E">
        <w:rPr>
          <w:color w:val="0E101A"/>
          <w:vertAlign w:val="superscript"/>
        </w:rPr>
        <w:t>2</w:t>
      </w:r>
      <w:r w:rsidRPr="00BB4B6E">
        <w:rPr>
          <w:color w:val="0E101A"/>
        </w:rPr>
        <w:t xml:space="preserve"> close to 1. Using the linear plot, the term </w:t>
      </w:r>
      <w:r w:rsidRPr="00BB4B6E">
        <w:rPr>
          <w:b/>
          <w:color w:val="0E101A"/>
        </w:rPr>
        <w:t>q</w:t>
      </w:r>
      <w:r w:rsidRPr="00BB4B6E">
        <w:rPr>
          <w:b/>
          <w:color w:val="0E101A"/>
          <w:vertAlign w:val="subscript"/>
        </w:rPr>
        <w:t>ma</w:t>
      </w:r>
      <w:r w:rsidRPr="00BB4B6E">
        <w:rPr>
          <w:color w:val="0E101A"/>
          <w:vertAlign w:val="subscript"/>
        </w:rPr>
        <w:t xml:space="preserve">x </w:t>
      </w:r>
      <w:r w:rsidRPr="00BB4B6E">
        <w:rPr>
          <w:color w:val="0E101A"/>
        </w:rPr>
        <w:t xml:space="preserve">(reciprocal of the slope) and parameter </w:t>
      </w:r>
      <w:r w:rsidRPr="00BB4B6E">
        <w:rPr>
          <w:b/>
          <w:color w:val="0E101A"/>
        </w:rPr>
        <w:t xml:space="preserve">b </w:t>
      </w:r>
      <w:r w:rsidRPr="00BB4B6E">
        <w:rPr>
          <w:color w:val="0E101A"/>
        </w:rPr>
        <w:t xml:space="preserve">(reciprocal of the Y-intercept) can be found (Piao </w:t>
      </w:r>
      <w:r w:rsidRPr="00BB4B6E">
        <w:rPr>
          <w:rStyle w:val="Emphasis"/>
          <w:rFonts w:eastAsiaTheme="majorEastAsia"/>
          <w:color w:val="0E101A"/>
        </w:rPr>
        <w:t>et al</w:t>
      </w:r>
      <w:r w:rsidRPr="00BB4B6E">
        <w:rPr>
          <w:color w:val="0E101A"/>
        </w:rPr>
        <w:t xml:space="preserve">., 2012; Wu </w:t>
      </w:r>
      <w:r w:rsidRPr="00BB4B6E">
        <w:rPr>
          <w:rStyle w:val="Emphasis"/>
          <w:rFonts w:eastAsiaTheme="majorEastAsia"/>
          <w:color w:val="0E101A"/>
        </w:rPr>
        <w:t>et al</w:t>
      </w:r>
      <w:r w:rsidRPr="00BB4B6E">
        <w:rPr>
          <w:color w:val="0E101A"/>
        </w:rPr>
        <w:t>., 2012). The Freundlich isotherm is applied to multilayered adsorption on heterogeneous sites. Similarly, the adsorption capacity of Cd and Pb using bone nanofertilizers can be fitted in the Freu</w:t>
      </w:r>
      <w:r>
        <w:rPr>
          <w:color w:val="0E101A"/>
        </w:rPr>
        <w:t>ndlich isotherm model given in E</w:t>
      </w:r>
      <w:r w:rsidRPr="00BB4B6E">
        <w:rPr>
          <w:color w:val="0E101A"/>
        </w:rPr>
        <w:t>quation (2.3), which is expressed as:</w:t>
      </w:r>
    </w:p>
    <w:p w:rsidR="00F934C1" w:rsidRPr="00BB4B6E" w:rsidRDefault="00F934C1" w:rsidP="00F934C1">
      <w:pPr>
        <w:pStyle w:val="NormalWeb"/>
        <w:spacing w:before="0" w:beforeAutospacing="0" w:after="0" w:afterAutospacing="0"/>
        <w:rPr>
          <w:color w:val="0E101A"/>
        </w:rPr>
      </w:pPr>
    </w:p>
    <w:p w:rsidR="00F934C1" w:rsidRPr="00BB4B6E" w:rsidRDefault="00F934C1" w:rsidP="00F934C1">
      <w:pPr>
        <w:rPr>
          <w:rFonts w:eastAsiaTheme="minorEastAsia"/>
        </w:rPr>
      </w:pPr>
      <w:r w:rsidRPr="00BB4B6E">
        <w:rPr>
          <w:color w:val="0E101A"/>
        </w:rPr>
        <w:t>q</w:t>
      </w:r>
      <w:r w:rsidRPr="00BB4B6E">
        <w:rPr>
          <w:color w:val="0E101A"/>
          <w:vertAlign w:val="subscript"/>
        </w:rPr>
        <w:t>e</w:t>
      </w:r>
      <m:oMath>
        <m:r>
          <w:rPr>
            <w:rFonts w:ascii="Cambria Math"/>
          </w:rPr>
          <m:t>=</m:t>
        </m:r>
        <m:r>
          <m:rPr>
            <m:sty m:val="p"/>
          </m:rPr>
          <w:rPr>
            <w:rFonts w:ascii="Cambria Math" w:hAnsi="Cambria Math"/>
          </w:rPr>
          <m:t>K</m:t>
        </m:r>
        <m:sSup>
          <m:sSupPr>
            <m:ctrlPr>
              <w:rPr>
                <w:rFonts w:ascii="Cambria Math" w:hAnsi="Cambria Math"/>
              </w:rPr>
            </m:ctrlPr>
          </m:sSupPr>
          <m:e>
            <m:r>
              <w:rPr>
                <w:rFonts w:ascii="Cambria Math" w:hAnsi="Cambria Math"/>
              </w:rPr>
              <m:t>c</m:t>
            </m:r>
          </m:e>
          <m:sup>
            <m:r>
              <w:rPr>
                <w:rFonts w:ascii="Cambria Math"/>
              </w:rPr>
              <m:t>1/</m:t>
            </m:r>
            <m:r>
              <w:rPr>
                <w:rFonts w:ascii="Cambria Math" w:hAnsi="Cambria Math"/>
              </w:rPr>
              <m:t>n</m:t>
            </m:r>
          </m:sup>
        </m:sSup>
      </m:oMath>
      <w:r w:rsidRPr="00BB4B6E">
        <w:rPr>
          <w:rFonts w:eastAsiaTheme="minorEastAsia"/>
        </w:rPr>
        <w:t xml:space="preserve">                                                                                       </w:t>
      </w:r>
      <w:r>
        <w:rPr>
          <w:rFonts w:eastAsiaTheme="minorEastAsia"/>
        </w:rPr>
        <w:t xml:space="preserve">                       </w:t>
      </w:r>
      <w:r w:rsidRPr="00BB4B6E">
        <w:rPr>
          <w:rFonts w:eastAsiaTheme="minorEastAsia"/>
        </w:rPr>
        <w:t>(2.3)</w:t>
      </w:r>
    </w:p>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Where </w:t>
      </w:r>
      <w:r w:rsidRPr="00BB4B6E">
        <w:rPr>
          <w:b/>
          <w:color w:val="0E101A"/>
        </w:rPr>
        <w:t>q</w:t>
      </w:r>
      <w:r w:rsidRPr="00BB4B6E">
        <w:rPr>
          <w:b/>
          <w:color w:val="0E101A"/>
          <w:vertAlign w:val="subscript"/>
        </w:rPr>
        <w:t xml:space="preserve">e </w:t>
      </w:r>
      <w:r w:rsidRPr="00BB4B6E">
        <w:rPr>
          <w:color w:val="0E101A"/>
        </w:rPr>
        <w:t xml:space="preserve">is the quantity of metal ion adsorbed per unit weight of nanoparticles, </w:t>
      </w:r>
      <w:r w:rsidRPr="00BB4B6E">
        <w:rPr>
          <w:b/>
          <w:color w:val="0E101A"/>
        </w:rPr>
        <w:t>c</w:t>
      </w:r>
      <w:r w:rsidRPr="00BB4B6E">
        <w:rPr>
          <w:color w:val="0E101A"/>
        </w:rPr>
        <w:t xml:space="preserve"> is the metal ion concentration left at equilibrium; </w:t>
      </w:r>
      <w:r w:rsidRPr="00BB4B6E">
        <w:t>K</w:t>
      </w:r>
      <w:r w:rsidRPr="00BB4B6E">
        <w:rPr>
          <w:vertAlign w:val="subscript"/>
        </w:rPr>
        <w:t>f</w:t>
      </w:r>
      <w:r w:rsidRPr="00BB4B6E">
        <w:rPr>
          <w:color w:val="0E101A"/>
        </w:rPr>
        <w:t xml:space="preserve"> and </w:t>
      </w:r>
      <w:r w:rsidRPr="00BB4B6E">
        <w:rPr>
          <w:b/>
          <w:color w:val="0E101A"/>
        </w:rPr>
        <w:t>n</w:t>
      </w:r>
      <w:r w:rsidRPr="00BB4B6E">
        <w:rPr>
          <w:color w:val="0E101A"/>
        </w:rPr>
        <w:t xml:space="preserve"> are constants representing the adsorptive capacity and binding energy respectively (Banerjee </w:t>
      </w:r>
      <w:r w:rsidRPr="00BB4B6E">
        <w:rPr>
          <w:rStyle w:val="Emphasis"/>
          <w:rFonts w:eastAsiaTheme="majorEastAsia"/>
          <w:color w:val="0E101A"/>
        </w:rPr>
        <w:t>et al</w:t>
      </w:r>
      <w:r w:rsidRPr="00BB4B6E">
        <w:rPr>
          <w:color w:val="0E101A"/>
        </w:rPr>
        <w:t>., 2019; Hameed</w:t>
      </w:r>
      <w:r w:rsidRPr="00BB4B6E">
        <w:rPr>
          <w:rStyle w:val="Emphasis"/>
          <w:rFonts w:eastAsiaTheme="majorEastAsia"/>
          <w:color w:val="0E101A"/>
        </w:rPr>
        <w:t xml:space="preserve"> et al</w:t>
      </w:r>
      <w:r w:rsidRPr="00BB4B6E">
        <w:rPr>
          <w:color w:val="0E101A"/>
        </w:rPr>
        <w:t>., 2017).</w:t>
      </w:r>
    </w:p>
    <w:p w:rsidR="00F934C1" w:rsidRPr="00BB4B6E" w:rsidRDefault="00F934C1" w:rsidP="00F934C1">
      <w:pPr>
        <w:pStyle w:val="NormalWeb"/>
        <w:spacing w:before="0" w:beforeAutospacing="0" w:after="0" w:afterAutospacing="0" w:line="480" w:lineRule="auto"/>
        <w:rPr>
          <w:color w:val="0E101A"/>
        </w:rPr>
      </w:pPr>
    </w:p>
    <w:p w:rsidR="00F934C1" w:rsidRDefault="00F934C1" w:rsidP="00F934C1">
      <w:pPr>
        <w:pStyle w:val="NormalWeb"/>
        <w:spacing w:before="0" w:beforeAutospacing="0" w:after="0" w:afterAutospacing="0" w:line="480" w:lineRule="auto"/>
        <w:rPr>
          <w:color w:val="0E101A"/>
        </w:rPr>
      </w:pPr>
      <w:r w:rsidRPr="00BB4B6E">
        <w:rPr>
          <w:color w:val="0E101A"/>
        </w:rPr>
        <w:t xml:space="preserve">The Freundlich linear plot of </w:t>
      </w:r>
      <w:r w:rsidRPr="00BB4B6E">
        <w:rPr>
          <w:b/>
          <w:color w:val="0E101A"/>
        </w:rPr>
        <w:t>log q</w:t>
      </w:r>
      <w:r w:rsidRPr="00BB4B6E">
        <w:rPr>
          <w:b/>
          <w:color w:val="0E101A"/>
          <w:vertAlign w:val="subscript"/>
        </w:rPr>
        <w:t>e</w:t>
      </w:r>
      <w:r w:rsidRPr="00BB4B6E">
        <w:rPr>
          <w:color w:val="0E101A"/>
        </w:rPr>
        <w:t xml:space="preserve"> against </w:t>
      </w:r>
      <w:r w:rsidRPr="00BB4B6E">
        <w:rPr>
          <w:b/>
          <w:color w:val="0E101A"/>
        </w:rPr>
        <w:t>log c</w:t>
      </w:r>
      <w:r w:rsidRPr="00BB4B6E">
        <w:rPr>
          <w:color w:val="0E101A"/>
        </w:rPr>
        <w:t xml:space="preserve"> is plotted, where constant </w:t>
      </w:r>
      <w:r w:rsidRPr="00BB4B6E">
        <w:rPr>
          <w:b/>
          <w:iCs/>
          <w:color w:val="0E101A"/>
        </w:rPr>
        <w:t xml:space="preserve">n </w:t>
      </w:r>
      <w:r w:rsidRPr="00BB4B6E">
        <w:rPr>
          <w:iCs/>
          <w:color w:val="0E101A"/>
        </w:rPr>
        <w:t xml:space="preserve">and </w:t>
      </w:r>
      <m:oMath>
        <m:sSub>
          <m:sSubPr>
            <m:ctrlPr>
              <w:rPr>
                <w:rFonts w:ascii="Cambria Math" w:hAnsi="Cambria Math"/>
                <w:b/>
                <w:color w:val="0E101A"/>
              </w:rPr>
            </m:ctrlPr>
          </m:sSubPr>
          <m:e>
            <m:r>
              <m:rPr>
                <m:sty m:val="bi"/>
              </m:rPr>
              <w:rPr>
                <w:rFonts w:ascii="Cambria Math" w:hAnsi="Cambria Math"/>
                <w:color w:val="0E101A"/>
              </w:rPr>
              <m:t>q</m:t>
            </m:r>
          </m:e>
          <m:sub>
            <m:r>
              <m:rPr>
                <m:sty m:val="bi"/>
              </m:rPr>
              <w:rPr>
                <w:rFonts w:ascii="Cambria Math" w:hAnsi="Cambria Math"/>
                <w:color w:val="0E101A"/>
              </w:rPr>
              <m:t>max</m:t>
            </m:r>
          </m:sub>
        </m:sSub>
      </m:oMath>
      <w:r w:rsidRPr="00BB4B6E">
        <w:rPr>
          <w:iCs/>
          <w:color w:val="0E101A"/>
        </w:rPr>
        <w:t xml:space="preserve"> are obtained as antilog of reciprocal of gradient and antilog of Y- intercept respectively. Constant </w:t>
      </w:r>
      <w:r w:rsidRPr="00BB4B6E">
        <w:rPr>
          <w:b/>
          <w:iCs/>
          <w:color w:val="0E101A"/>
        </w:rPr>
        <w:t xml:space="preserve">n </w:t>
      </w:r>
      <w:r w:rsidRPr="00BB4B6E">
        <w:rPr>
          <w:color w:val="0E101A"/>
        </w:rPr>
        <w:t xml:space="preserve">is a measure of the deviation of adsorption process from </w:t>
      </w:r>
      <w:r w:rsidRPr="00BB4B6E">
        <w:rPr>
          <w:color w:val="0E101A"/>
        </w:rPr>
        <w:lastRenderedPageBreak/>
        <w:t xml:space="preserve">linearity (Chuanjia </w:t>
      </w:r>
      <w:r w:rsidRPr="00BB4B6E">
        <w:rPr>
          <w:i/>
          <w:iCs/>
          <w:color w:val="0E101A"/>
        </w:rPr>
        <w:t>et al</w:t>
      </w:r>
      <w:r w:rsidRPr="00BB4B6E">
        <w:rPr>
          <w:color w:val="0E101A"/>
        </w:rPr>
        <w:t xml:space="preserve">., 2015). If </w:t>
      </w:r>
      <w:r w:rsidRPr="00BB4B6E">
        <w:rPr>
          <w:b/>
          <w:iCs/>
          <w:color w:val="0E101A"/>
        </w:rPr>
        <w:t xml:space="preserve">n˃1 </w:t>
      </w:r>
      <w:r w:rsidRPr="00BB4B6E">
        <w:rPr>
          <w:color w:val="0E101A"/>
        </w:rPr>
        <w:t>for the adsorption on syntheti</w:t>
      </w:r>
      <w:r>
        <w:rPr>
          <w:color w:val="0E101A"/>
        </w:rPr>
        <w:t>c nHA and bone nHA samples,</w:t>
      </w:r>
      <w:r w:rsidRPr="00BB4B6E">
        <w:rPr>
          <w:color w:val="0E101A"/>
        </w:rPr>
        <w:t xml:space="preserve"> it is a physical process. When the obtained </w:t>
      </w:r>
      <w:r w:rsidRPr="00BB4B6E">
        <w:rPr>
          <w:b/>
          <w:color w:val="0E101A"/>
        </w:rPr>
        <w:t>1/</w:t>
      </w:r>
      <w:r w:rsidRPr="00BB4B6E">
        <w:rPr>
          <w:b/>
          <w:iCs/>
          <w:color w:val="0E101A"/>
        </w:rPr>
        <w:t>n</w:t>
      </w:r>
      <w:r w:rsidRPr="00BB4B6E">
        <w:rPr>
          <w:color w:val="0E101A"/>
        </w:rPr>
        <w:t xml:space="preserve">˂1, it shows adsorption is heterogeneous and a linear Freundlich isotherm (Shojaei </w:t>
      </w:r>
      <w:r w:rsidRPr="00BB4B6E">
        <w:rPr>
          <w:i/>
          <w:iCs/>
          <w:color w:val="0E101A"/>
        </w:rPr>
        <w:t>et al</w:t>
      </w:r>
      <w:r w:rsidRPr="00BB4B6E">
        <w:rPr>
          <w:color w:val="0E101A"/>
        </w:rPr>
        <w:t xml:space="preserve">., 2019; Zahra </w:t>
      </w:r>
      <w:r w:rsidRPr="00BB4B6E">
        <w:rPr>
          <w:i/>
          <w:iCs/>
          <w:color w:val="0E101A"/>
        </w:rPr>
        <w:t>et al</w:t>
      </w:r>
      <w:r w:rsidRPr="00BB4B6E">
        <w:rPr>
          <w:color w:val="0E101A"/>
        </w:rPr>
        <w:t xml:space="preserve">., 2019). The best-fitted model picking is anchored on the determination of the correlation coefficient </w:t>
      </w:r>
      <w:r w:rsidRPr="00BB4B6E">
        <w:rPr>
          <w:b/>
          <w:iCs/>
          <w:color w:val="0E101A"/>
        </w:rPr>
        <w:t>R</w:t>
      </w:r>
      <w:r w:rsidRPr="00BB4B6E">
        <w:rPr>
          <w:b/>
          <w:color w:val="0E101A"/>
          <w:vertAlign w:val="superscript"/>
        </w:rPr>
        <w:t>2</w:t>
      </w:r>
      <w:r w:rsidRPr="00BB4B6E">
        <w:rPr>
          <w:color w:val="0E101A"/>
        </w:rPr>
        <w:t xml:space="preserve">. The nearer </w:t>
      </w:r>
      <w:r w:rsidRPr="00BB4B6E">
        <w:rPr>
          <w:b/>
          <w:iCs/>
          <w:color w:val="0E101A"/>
        </w:rPr>
        <w:t>R</w:t>
      </w:r>
      <w:r w:rsidRPr="00BB4B6E">
        <w:rPr>
          <w:b/>
          <w:color w:val="0E101A"/>
          <w:vertAlign w:val="superscript"/>
        </w:rPr>
        <w:t xml:space="preserve">2 </w:t>
      </w:r>
      <w:r w:rsidRPr="00BB4B6E">
        <w:rPr>
          <w:color w:val="0E101A"/>
        </w:rPr>
        <w:t xml:space="preserve">value is to unit (1) between the Langmuir isotherm model and the Freundlich model, the better the adsorption model (Zhangwei </w:t>
      </w:r>
      <w:r w:rsidRPr="00BB4B6E">
        <w:rPr>
          <w:i/>
          <w:iCs/>
          <w:color w:val="0E101A"/>
        </w:rPr>
        <w:t>et al</w:t>
      </w:r>
      <w:r w:rsidRPr="00BB4B6E">
        <w:rPr>
          <w:color w:val="0E101A"/>
        </w:rPr>
        <w:t xml:space="preserve">., 2019; Wu </w:t>
      </w:r>
      <w:r w:rsidRPr="00BB4B6E">
        <w:rPr>
          <w:i/>
          <w:iCs/>
          <w:color w:val="0E101A"/>
        </w:rPr>
        <w:t>et al</w:t>
      </w:r>
      <w:r w:rsidRPr="00BB4B6E">
        <w:rPr>
          <w:color w:val="0E101A"/>
        </w:rPr>
        <w:t>., 2012).</w:t>
      </w:r>
    </w:p>
    <w:p w:rsidR="0062719F" w:rsidRPr="00BB4B6E" w:rsidRDefault="0062719F" w:rsidP="00F934C1">
      <w:pPr>
        <w:pStyle w:val="NormalWeb"/>
        <w:spacing w:before="0" w:beforeAutospacing="0" w:after="0" w:afterAutospacing="0" w:line="480" w:lineRule="auto"/>
        <w:rPr>
          <w:color w:val="0E101A"/>
        </w:rPr>
      </w:pPr>
    </w:p>
    <w:p w:rsidR="00F934C1" w:rsidRPr="00BB4B6E" w:rsidRDefault="00F934C1" w:rsidP="00F934C1">
      <w:pPr>
        <w:pStyle w:val="Heading3"/>
      </w:pPr>
      <w:bookmarkStart w:id="78" w:name="_Toc114763380"/>
      <w:bookmarkStart w:id="79" w:name="_Toc144820014"/>
      <w:r>
        <w:t>2.7.6</w:t>
      </w:r>
      <w:r w:rsidRPr="00BB4B6E">
        <w:t xml:space="preserve"> Adsorption Kinetics</w:t>
      </w:r>
      <w:bookmarkEnd w:id="78"/>
      <w:bookmarkEnd w:id="79"/>
    </w:p>
    <w:p w:rsidR="00F934C1" w:rsidRPr="00BB4B6E" w:rsidRDefault="00F934C1" w:rsidP="00F934C1">
      <w:pPr>
        <w:rPr>
          <w:rFonts w:eastAsia="TimesNewRomanPSMT"/>
        </w:rPr>
      </w:pPr>
      <w:r w:rsidRPr="00BB4B6E">
        <w:rPr>
          <w:rFonts w:eastAsia="TimesNewRomanPSMT"/>
        </w:rPr>
        <w:t>This study estimated the order and rate constant of the adsorption process applying the pseudo 1</w:t>
      </w:r>
      <w:r w:rsidRPr="00BB4B6E">
        <w:rPr>
          <w:rFonts w:eastAsia="TimesNewRomanPSMT"/>
          <w:vertAlign w:val="superscript"/>
        </w:rPr>
        <w:t>st</w:t>
      </w:r>
      <w:r w:rsidRPr="00BB4B6E">
        <w:rPr>
          <w:rFonts w:eastAsia="TimesNewRomanPSMT"/>
        </w:rPr>
        <w:t xml:space="preserve"> order kinetic and pseudo 2</w:t>
      </w:r>
      <w:r w:rsidRPr="00BB4B6E">
        <w:rPr>
          <w:rFonts w:eastAsia="TimesNewRomanPSMT"/>
          <w:vertAlign w:val="superscript"/>
        </w:rPr>
        <w:t>nd</w:t>
      </w:r>
      <w:r w:rsidRPr="00BB4B6E">
        <w:rPr>
          <w:rFonts w:eastAsia="TimesNewRomanPSMT"/>
        </w:rPr>
        <w:t xml:space="preserve"> order kinetic models. The pseudo 1</w:t>
      </w:r>
      <w:r w:rsidRPr="00BB4B6E">
        <w:rPr>
          <w:rFonts w:eastAsia="TimesNewRomanPSMT"/>
          <w:vertAlign w:val="superscript"/>
        </w:rPr>
        <w:t>st</w:t>
      </w:r>
      <w:r w:rsidRPr="00BB4B6E">
        <w:rPr>
          <w:rFonts w:eastAsia="TimesNewRomanPSMT"/>
        </w:rPr>
        <w:t xml:space="preserve"> o</w:t>
      </w:r>
      <w:r>
        <w:rPr>
          <w:rFonts w:eastAsia="TimesNewRomanPSMT"/>
        </w:rPr>
        <w:t>rder kinetic model is given by E</w:t>
      </w:r>
      <w:r w:rsidRPr="00BB4B6E">
        <w:rPr>
          <w:rFonts w:eastAsia="TimesNewRomanPSMT"/>
        </w:rPr>
        <w:t xml:space="preserve">quation 2.4 (Hameed </w:t>
      </w:r>
      <w:r w:rsidRPr="00BB4B6E">
        <w:rPr>
          <w:rFonts w:eastAsia="TimesNewRomanPSMT"/>
          <w:i/>
        </w:rPr>
        <w:t>et al</w:t>
      </w:r>
      <w:r w:rsidRPr="00BB4B6E">
        <w:rPr>
          <w:rFonts w:eastAsia="TimesNewRomanPSMT"/>
        </w:rPr>
        <w:t>., 2017).</w:t>
      </w:r>
    </w:p>
    <w:p w:rsidR="00F934C1" w:rsidRPr="00BB4B6E" w:rsidRDefault="00F934C1" w:rsidP="00F934C1">
      <w:pPr>
        <w:rPr>
          <w:rFonts w:eastAsia="TimesNewRomanPSMT"/>
        </w:rPr>
      </w:pPr>
      <m:oMathPara>
        <m:oMath>
          <m:r>
            <m:rPr>
              <m:sty m:val="p"/>
            </m:rPr>
            <w:rPr>
              <w:rFonts w:ascii="Cambria Math" w:eastAsia="TimesNewRomanPSMT"/>
            </w:rPr>
            <m:t>log</m:t>
          </m:r>
          <m:sSup>
            <m:sSupPr>
              <m:ctrlPr>
                <w:rPr>
                  <w:rFonts w:ascii="Cambria Math" w:eastAsia="TimesNewRomanPSMT" w:hAnsi="Cambria Math"/>
                </w:rPr>
              </m:ctrlPr>
            </m:sSupPr>
            <m:e>
              <m:d>
                <m:dPr>
                  <m:ctrlPr>
                    <w:rPr>
                      <w:rFonts w:ascii="Cambria Math" w:eastAsia="TimesNewRomanPSMT" w:hAnsi="Cambria Math"/>
                    </w:rPr>
                  </m:ctrlPr>
                </m:dPr>
                <m:e>
                  <m:sSub>
                    <m:sSubPr>
                      <m:ctrlPr>
                        <w:rPr>
                          <w:rFonts w:ascii="Cambria Math" w:eastAsia="TimesNewRomanPSMT" w:hAnsi="Cambria Math"/>
                        </w:rPr>
                      </m:ctrlPr>
                    </m:sSubPr>
                    <m:e>
                      <m:r>
                        <w:rPr>
                          <w:rFonts w:ascii="Cambria Math" w:eastAsia="TimesNewRomanPSMT" w:hAnsi="Cambria Math"/>
                        </w:rPr>
                        <m:t>q</m:t>
                      </m:r>
                    </m:e>
                    <m:sub>
                      <m:r>
                        <m:rPr>
                          <m:sty m:val="p"/>
                        </m:rPr>
                        <w:rPr>
                          <w:rFonts w:ascii="Cambria Math" w:eastAsia="TimesNewRomanPSMT" w:hAnsi="Cambria Math"/>
                        </w:rPr>
                        <m:t>e</m:t>
                      </m:r>
                    </m:sub>
                  </m:sSub>
                  <m:r>
                    <w:rPr>
                      <w:rFonts w:eastAsia="TimesNewRomanPSMT"/>
                    </w:rPr>
                    <m:t>-</m:t>
                  </m:r>
                  <m:sSub>
                    <m:sSubPr>
                      <m:ctrlPr>
                        <w:rPr>
                          <w:rFonts w:ascii="Cambria Math" w:eastAsia="TimesNewRomanPSMT" w:hAnsi="Cambria Math"/>
                        </w:rPr>
                      </m:ctrlPr>
                    </m:sSubPr>
                    <m:e>
                      <m:r>
                        <w:rPr>
                          <w:rFonts w:ascii="Cambria Math" w:eastAsia="TimesNewRomanPSMT" w:hAnsi="Cambria Math"/>
                        </w:rPr>
                        <m:t>q</m:t>
                      </m:r>
                    </m:e>
                    <m:sub>
                      <m:r>
                        <m:rPr>
                          <m:sty m:val="p"/>
                        </m:rPr>
                        <w:rPr>
                          <w:rFonts w:ascii="Cambria Math" w:eastAsia="TimesNewRomanPSMT" w:hAnsi="Cambria Math"/>
                        </w:rPr>
                        <m:t>t</m:t>
                      </m:r>
                    </m:sub>
                  </m:sSub>
                </m:e>
              </m:d>
            </m:e>
            <m:sup/>
          </m:sSup>
          <m:r>
            <w:rPr>
              <w:rFonts w:ascii="Cambria Math" w:eastAsia="TimesNewRomanPSMT"/>
            </w:rPr>
            <m:t>=</m:t>
          </m:r>
          <m:func>
            <m:funcPr>
              <m:ctrlPr>
                <w:rPr>
                  <w:rFonts w:ascii="Cambria Math" w:eastAsia="TimesNewRomanPSMT" w:hAnsi="Cambria Math"/>
                  <w:i/>
                </w:rPr>
              </m:ctrlPr>
            </m:funcPr>
            <m:fName>
              <m:r>
                <m:rPr>
                  <m:sty m:val="p"/>
                </m:rPr>
                <w:rPr>
                  <w:rFonts w:ascii="Cambria Math" w:eastAsia="TimesNewRomanPSMT"/>
                </w:rPr>
                <m:t>log</m:t>
              </m:r>
            </m:fName>
            <m:e>
              <m:sSub>
                <m:sSubPr>
                  <m:ctrlPr>
                    <w:rPr>
                      <w:rFonts w:ascii="Cambria Math" w:eastAsia="TimesNewRomanPSMT" w:hAnsi="Cambria Math"/>
                    </w:rPr>
                  </m:ctrlPr>
                </m:sSubPr>
                <m:e>
                  <m:r>
                    <w:rPr>
                      <w:rFonts w:ascii="Cambria Math" w:eastAsia="TimesNewRomanPSMT" w:hAnsi="Cambria Math"/>
                    </w:rPr>
                    <m:t>q</m:t>
                  </m:r>
                </m:e>
                <m:sub>
                  <m:r>
                    <m:rPr>
                      <m:sty m:val="p"/>
                    </m:rPr>
                    <w:rPr>
                      <w:rFonts w:ascii="Cambria Math" w:eastAsia="TimesNewRomanPSMT" w:hAnsi="Cambria Math"/>
                    </w:rPr>
                    <m:t>e</m:t>
                  </m:r>
                </m:sub>
              </m:sSub>
            </m:e>
          </m:func>
          <m:r>
            <w:rPr>
              <w:rFonts w:eastAsia="TimesNewRomanPSMT"/>
            </w:rPr>
            <m:t>-</m:t>
          </m:r>
          <m:f>
            <m:fPr>
              <m:ctrlPr>
                <w:rPr>
                  <w:rFonts w:ascii="Cambria Math" w:eastAsia="TimesNewRomanPSMT" w:hAnsi="Cambria Math"/>
                </w:rPr>
              </m:ctrlPr>
            </m:fPr>
            <m:num>
              <m:sSub>
                <m:sSubPr>
                  <m:ctrlPr>
                    <w:rPr>
                      <w:rFonts w:ascii="Cambria Math" w:eastAsia="TimesNewRomanPSMT" w:hAnsi="Cambria Math"/>
                    </w:rPr>
                  </m:ctrlPr>
                </m:sSubPr>
                <m:e>
                  <m:r>
                    <w:rPr>
                      <w:rFonts w:ascii="Cambria Math" w:eastAsia="TimesNewRomanPSMT" w:hAnsi="Cambria Math"/>
                    </w:rPr>
                    <m:t>k</m:t>
                  </m:r>
                </m:e>
                <m:sub>
                  <m:r>
                    <m:rPr>
                      <m:sty m:val="p"/>
                    </m:rPr>
                    <w:rPr>
                      <w:rFonts w:ascii="Cambria Math" w:eastAsia="TimesNewRomanPSMT" w:hAnsi="Cambria Math"/>
                    </w:rPr>
                    <m:t>1</m:t>
                  </m:r>
                </m:sub>
              </m:sSub>
            </m:num>
            <m:den>
              <m:r>
                <w:rPr>
                  <w:rFonts w:ascii="Cambria Math" w:eastAsia="TimesNewRomanPSMT"/>
                </w:rPr>
                <m:t>2.303</m:t>
              </m:r>
            </m:den>
          </m:f>
          <m:r>
            <w:rPr>
              <w:rFonts w:ascii="Cambria Math" w:eastAsia="TimesNewRomanPSMT" w:hAnsi="Cambria Math"/>
            </w:rPr>
            <m:t>t</m:t>
          </m:r>
          <m:r>
            <w:rPr>
              <w:rFonts w:ascii="Cambria Math" w:eastAsia="TimesNewRomanPSMT"/>
            </w:rPr>
            <m:t>………………………………</m:t>
          </m:r>
          <m:r>
            <w:rPr>
              <w:rFonts w:ascii="Cambria Math" w:eastAsia="TimesNewRomanPSMT"/>
            </w:rPr>
            <m:t>.2.4</m:t>
          </m:r>
        </m:oMath>
      </m:oMathPara>
    </w:p>
    <w:p w:rsidR="00F934C1" w:rsidRPr="00BB4B6E" w:rsidRDefault="00F934C1" w:rsidP="00F934C1">
      <w:pPr>
        <w:rPr>
          <w:rFonts w:eastAsia="TimesNewRomanPSMT"/>
        </w:rPr>
      </w:pPr>
    </w:p>
    <w:p w:rsidR="00F934C1" w:rsidRPr="00BB4B6E" w:rsidRDefault="00F934C1" w:rsidP="00F934C1">
      <w:pPr>
        <w:rPr>
          <w:rFonts w:eastAsia="TimesNewRomanPSMT"/>
        </w:rPr>
      </w:pPr>
      <w:r w:rsidRPr="00BB4B6E">
        <w:rPr>
          <w:rFonts w:eastAsia="TimesNewRomanPSMT"/>
        </w:rPr>
        <w:t xml:space="preserve">Where </w:t>
      </w:r>
      <m:oMath>
        <m:sSub>
          <m:sSubPr>
            <m:ctrlPr>
              <w:rPr>
                <w:rFonts w:ascii="Cambria Math" w:eastAsia="TimesNewRomanPSMT" w:hAnsi="Cambria Math"/>
                <w:b/>
              </w:rPr>
            </m:ctrlPr>
          </m:sSubPr>
          <m:e>
            <m:r>
              <m:rPr>
                <m:sty m:val="bi"/>
              </m:rPr>
              <w:rPr>
                <w:rFonts w:ascii="Cambria Math" w:eastAsia="TimesNewRomanPSMT" w:hAnsi="Cambria Math"/>
              </w:rPr>
              <m:t>q</m:t>
            </m:r>
          </m:e>
          <m:sub>
            <m:r>
              <m:rPr>
                <m:sty m:val="b"/>
              </m:rPr>
              <w:rPr>
                <w:rFonts w:ascii="Cambria Math" w:eastAsia="TimesNewRomanPSMT" w:hAnsi="Cambria Math"/>
              </w:rPr>
              <m:t>e</m:t>
            </m:r>
          </m:sub>
        </m:sSub>
      </m:oMath>
      <w:r w:rsidRPr="00BB4B6E">
        <w:rPr>
          <w:rFonts w:eastAsia="TimesNewRomanPSMT"/>
          <w:b/>
        </w:rPr>
        <w:t>(</w:t>
      </w:r>
      <w:r w:rsidRPr="00BB4B6E">
        <w:rPr>
          <w:rFonts w:eastAsia="TimesNewRomanPSMT"/>
        </w:rPr>
        <w:t>mg.g</w:t>
      </w:r>
      <w:r w:rsidRPr="00BB4B6E">
        <w:rPr>
          <w:rFonts w:eastAsia="TimesNewRomanPSMT"/>
          <w:vertAlign w:val="superscript"/>
        </w:rPr>
        <w:t>-1</w:t>
      </w:r>
      <w:r w:rsidRPr="00BB4B6E">
        <w:rPr>
          <w:rFonts w:eastAsia="TimesNewRomanPSMT"/>
          <w:b/>
        </w:rPr>
        <w:t xml:space="preserve">) </w:t>
      </w:r>
      <w:r w:rsidRPr="00BB4B6E">
        <w:rPr>
          <w:rFonts w:eastAsia="TimesNewRomanPSMT"/>
        </w:rPr>
        <w:t>is the adsorptive capacity at equilibrium</w:t>
      </w:r>
      <w:r>
        <w:rPr>
          <w:rFonts w:eastAsia="TimesNewRomanPSMT"/>
        </w:rPr>
        <w:t xml:space="preserve"> </w:t>
      </w:r>
      <w:r w:rsidRPr="00BB4B6E">
        <w:rPr>
          <w:rFonts w:eastAsia="TimesNewRomanPSMT"/>
        </w:rPr>
        <w:t xml:space="preserve">and </w:t>
      </w:r>
      <m:oMath>
        <m:sSub>
          <m:sSubPr>
            <m:ctrlPr>
              <w:rPr>
                <w:rFonts w:ascii="Cambria Math" w:eastAsia="TimesNewRomanPSMT" w:hAnsi="Cambria Math"/>
                <w:b/>
              </w:rPr>
            </m:ctrlPr>
          </m:sSubPr>
          <m:e>
            <m:r>
              <m:rPr>
                <m:sty m:val="bi"/>
              </m:rPr>
              <w:rPr>
                <w:rFonts w:ascii="Cambria Math" w:eastAsia="TimesNewRomanPSMT" w:hAnsi="Cambria Math"/>
              </w:rPr>
              <m:t>q</m:t>
            </m:r>
          </m:e>
          <m:sub>
            <m:r>
              <m:rPr>
                <m:sty m:val="b"/>
              </m:rPr>
              <w:rPr>
                <w:rFonts w:ascii="Cambria Math" w:eastAsia="TimesNewRomanPSMT" w:hAnsi="Cambria Math"/>
              </w:rPr>
              <m:t xml:space="preserve">t </m:t>
            </m:r>
          </m:sub>
        </m:sSub>
      </m:oMath>
      <w:r w:rsidRPr="00BB4B6E">
        <w:rPr>
          <w:rFonts w:eastAsia="TimesNewRomanPSMT"/>
        </w:rPr>
        <w:t>(mg.g</w:t>
      </w:r>
      <w:r w:rsidRPr="00BB4B6E">
        <w:rPr>
          <w:rFonts w:eastAsia="TimesNewRomanPSMT"/>
          <w:vertAlign w:val="superscript"/>
        </w:rPr>
        <w:t>-1</w:t>
      </w:r>
      <w:r w:rsidRPr="00BB4B6E">
        <w:rPr>
          <w:rFonts w:eastAsia="TimesNewRomanPSMT"/>
        </w:rPr>
        <w:t xml:space="preserve">) is the adsorptive capacity at time of </w:t>
      </w:r>
      <w:r w:rsidRPr="00BB4B6E">
        <w:rPr>
          <w:i/>
          <w:iCs/>
        </w:rPr>
        <w:t xml:space="preserve">t </w:t>
      </w:r>
      <w:r w:rsidRPr="00BB4B6E">
        <w:rPr>
          <w:rFonts w:eastAsia="TimesNewRomanPSMT"/>
        </w:rPr>
        <w:t xml:space="preserve">(min), </w:t>
      </w:r>
      <m:oMath>
        <m:sSub>
          <m:sSubPr>
            <m:ctrlPr>
              <w:rPr>
                <w:rFonts w:ascii="Cambria Math" w:eastAsia="TimesNewRomanPSMT" w:hAnsi="Cambria Math"/>
              </w:rPr>
            </m:ctrlPr>
          </m:sSubPr>
          <m:e>
            <m:r>
              <w:rPr>
                <w:rFonts w:ascii="Cambria Math" w:eastAsia="TimesNewRomanPSMT" w:hAnsi="Cambria Math"/>
              </w:rPr>
              <m:t>k</m:t>
            </m:r>
          </m:e>
          <m:sub>
            <m:r>
              <m:rPr>
                <m:sty m:val="p"/>
              </m:rPr>
              <w:rPr>
                <w:rFonts w:ascii="Cambria Math" w:eastAsia="TimesNewRomanPSMT" w:hAnsi="Cambria Math"/>
              </w:rPr>
              <m:t>1</m:t>
            </m:r>
          </m:sub>
        </m:sSub>
      </m:oMath>
      <w:r w:rsidRPr="00BB4B6E">
        <w:rPr>
          <w:rFonts w:eastAsia="TimesNewRomanPSMT"/>
        </w:rPr>
        <w:t>(min</w:t>
      </w:r>
      <w:r w:rsidRPr="00BB4B6E">
        <w:rPr>
          <w:rFonts w:eastAsia="TimesNewRomanPSMT"/>
          <w:vertAlign w:val="superscript"/>
        </w:rPr>
        <w:t>-1</w:t>
      </w:r>
      <w:r w:rsidRPr="00BB4B6E">
        <w:rPr>
          <w:rFonts w:eastAsia="TimesNewRomanPSMT"/>
        </w:rPr>
        <w:t>) is the pseudo 1</w:t>
      </w:r>
      <w:r w:rsidRPr="00BB4B6E">
        <w:rPr>
          <w:rFonts w:eastAsia="TimesNewRomanPSMT"/>
          <w:vertAlign w:val="superscript"/>
        </w:rPr>
        <w:t>st</w:t>
      </w:r>
      <w:r w:rsidRPr="00BB4B6E">
        <w:rPr>
          <w:rFonts w:eastAsia="TimesNewRomanPSMT"/>
        </w:rPr>
        <w:t xml:space="preserve"> order rate constant of adsorption. The constants </w:t>
      </w:r>
      <m:oMath>
        <m:sSub>
          <m:sSubPr>
            <m:ctrlPr>
              <w:rPr>
                <w:rFonts w:ascii="Cambria Math" w:eastAsia="TimesNewRomanPSMT" w:hAnsi="Cambria Math"/>
              </w:rPr>
            </m:ctrlPr>
          </m:sSubPr>
          <m:e>
            <m:r>
              <w:rPr>
                <w:rFonts w:ascii="Cambria Math" w:eastAsia="TimesNewRomanPSMT" w:hAnsi="Cambria Math"/>
              </w:rPr>
              <m:t>k</m:t>
            </m:r>
          </m:e>
          <m:sub>
            <m:r>
              <m:rPr>
                <m:sty m:val="p"/>
              </m:rPr>
              <w:rPr>
                <w:rFonts w:ascii="Cambria Math" w:eastAsia="TimesNewRomanPSMT" w:hAnsi="Cambria Math"/>
              </w:rPr>
              <m:t>1</m:t>
            </m:r>
          </m:sub>
        </m:sSub>
      </m:oMath>
      <w:r w:rsidRPr="00BB4B6E">
        <w:rPr>
          <w:rFonts w:eastAsia="TimesNewRomanPSMT"/>
        </w:rPr>
        <w:t xml:space="preserve">and </w:t>
      </w:r>
      <m:oMath>
        <m:sSub>
          <m:sSubPr>
            <m:ctrlPr>
              <w:rPr>
                <w:rFonts w:ascii="Cambria Math" w:eastAsia="TimesNewRomanPSMT" w:hAnsi="Cambria Math"/>
              </w:rPr>
            </m:ctrlPr>
          </m:sSubPr>
          <m:e>
            <m:r>
              <w:rPr>
                <w:rFonts w:ascii="Cambria Math" w:eastAsia="TimesNewRomanPSMT" w:hAnsi="Cambria Math"/>
              </w:rPr>
              <m:t>q</m:t>
            </m:r>
          </m:e>
          <m:sub>
            <m:r>
              <m:rPr>
                <m:sty m:val="p"/>
              </m:rPr>
              <w:rPr>
                <w:rFonts w:ascii="Cambria Math" w:eastAsia="TimesNewRomanPSMT" w:hAnsi="Cambria Math"/>
              </w:rPr>
              <m:t>e</m:t>
            </m:r>
          </m:sub>
        </m:sSub>
      </m:oMath>
      <w:r w:rsidRPr="00BB4B6E">
        <w:rPr>
          <w:rFonts w:eastAsia="TimesNewRomanPSMT"/>
        </w:rPr>
        <w:t xml:space="preserve">were computed from a plot of </w:t>
      </w:r>
      <w:r w:rsidRPr="00BB4B6E">
        <w:rPr>
          <w:rFonts w:eastAsia="TimesNewRomanPSMT"/>
          <w:b/>
        </w:rPr>
        <w:t xml:space="preserve">log </w:t>
      </w:r>
      <w:r w:rsidRPr="00BB4B6E">
        <w:rPr>
          <w:b/>
          <w:i/>
          <w:iCs/>
        </w:rPr>
        <w:t>(</w:t>
      </w:r>
      <m:oMath>
        <m:sSub>
          <m:sSubPr>
            <m:ctrlPr>
              <w:rPr>
                <w:rFonts w:ascii="Cambria Math" w:eastAsia="TimesNewRomanPSMT" w:hAnsi="Cambria Math"/>
                <w:b/>
              </w:rPr>
            </m:ctrlPr>
          </m:sSubPr>
          <m:e>
            <m:r>
              <m:rPr>
                <m:sty m:val="bi"/>
              </m:rPr>
              <w:rPr>
                <w:rFonts w:ascii="Cambria Math" w:eastAsia="TimesNewRomanPSMT" w:hAnsi="Cambria Math"/>
              </w:rPr>
              <m:t>q</m:t>
            </m:r>
          </m:e>
          <m:sub>
            <m:r>
              <m:rPr>
                <m:sty m:val="b"/>
              </m:rPr>
              <w:rPr>
                <w:rFonts w:ascii="Cambria Math" w:eastAsia="TimesNewRomanPSMT" w:hAnsi="Cambria Math"/>
              </w:rPr>
              <m:t>e</m:t>
            </m:r>
          </m:sub>
        </m:sSub>
        <m:r>
          <m:rPr>
            <m:sty m:val="bi"/>
          </m:rPr>
          <w:rPr>
            <w:rFonts w:ascii="Cambria Math" w:eastAsia="TimesNewRomanPSMT" w:hAnsi="Cambria Math"/>
          </w:rPr>
          <m:t>-</m:t>
        </m:r>
        <m:sSub>
          <m:sSubPr>
            <m:ctrlPr>
              <w:rPr>
                <w:rFonts w:ascii="Cambria Math" w:eastAsia="TimesNewRomanPSMT" w:hAnsi="Cambria Math"/>
                <w:b/>
              </w:rPr>
            </m:ctrlPr>
          </m:sSubPr>
          <m:e>
            <m:r>
              <m:rPr>
                <m:sty m:val="bi"/>
              </m:rPr>
              <w:rPr>
                <w:rFonts w:ascii="Cambria Math" w:eastAsia="TimesNewRomanPSMT" w:hAnsi="Cambria Math"/>
              </w:rPr>
              <m:t>q</m:t>
            </m:r>
          </m:e>
          <m:sub>
            <m:r>
              <m:rPr>
                <m:sty m:val="b"/>
              </m:rPr>
              <w:rPr>
                <w:rFonts w:ascii="Cambria Math" w:eastAsia="TimesNewRomanPSMT" w:hAnsi="Cambria Math"/>
              </w:rPr>
              <m:t>t</m:t>
            </m:r>
          </m:sub>
        </m:sSub>
      </m:oMath>
      <w:r w:rsidRPr="00BB4B6E">
        <w:rPr>
          <w:b/>
          <w:i/>
          <w:iCs/>
        </w:rPr>
        <w:t xml:space="preserve">) </w:t>
      </w:r>
      <w:r w:rsidRPr="00BB4B6E">
        <w:rPr>
          <w:rFonts w:eastAsia="TimesNewRomanPSMT"/>
        </w:rPr>
        <w:t xml:space="preserve">versus </w:t>
      </w:r>
      <w:r w:rsidRPr="00BB4B6E">
        <w:rPr>
          <w:b/>
          <w:iCs/>
        </w:rPr>
        <w:t xml:space="preserve">t </w:t>
      </w:r>
      <w:r w:rsidRPr="00BB4B6E">
        <w:rPr>
          <w:rFonts w:eastAsia="TimesNewRomanPSMT"/>
        </w:rPr>
        <w:t>as natural antilog of gradient and antilog of y-intercept in that order. The pseudo 2</w:t>
      </w:r>
      <w:r w:rsidRPr="00BB4B6E">
        <w:rPr>
          <w:rFonts w:eastAsia="TimesNewRomanPSMT"/>
          <w:vertAlign w:val="superscript"/>
        </w:rPr>
        <w:t>nd</w:t>
      </w:r>
      <w:r w:rsidRPr="00BB4B6E">
        <w:rPr>
          <w:rFonts w:eastAsia="TimesNewRomanPSMT"/>
        </w:rPr>
        <w:t xml:space="preserve"> order</w:t>
      </w:r>
      <w:r>
        <w:rPr>
          <w:rFonts w:eastAsia="TimesNewRomanPSMT"/>
        </w:rPr>
        <w:t xml:space="preserve"> kinetic model is expressed by E</w:t>
      </w:r>
      <w:r w:rsidRPr="00BB4B6E">
        <w:rPr>
          <w:rFonts w:eastAsia="TimesNewRomanPSMT"/>
        </w:rPr>
        <w:t xml:space="preserve">quation 2.5 (Banerjee </w:t>
      </w:r>
      <w:r w:rsidRPr="00BB4B6E">
        <w:rPr>
          <w:rFonts w:eastAsia="TimesNewRomanPSMT"/>
          <w:i/>
        </w:rPr>
        <w:t>et al</w:t>
      </w:r>
      <w:r w:rsidRPr="00BB4B6E">
        <w:rPr>
          <w:rFonts w:eastAsia="TimesNewRomanPSMT"/>
        </w:rPr>
        <w:t>., 2019).</w:t>
      </w:r>
    </w:p>
    <w:p w:rsidR="00F934C1" w:rsidRPr="00BB4B6E" w:rsidRDefault="00F934C1" w:rsidP="00F934C1">
      <w:pPr>
        <w:rPr>
          <w:rFonts w:eastAsia="TimesNewRomanPSMT"/>
        </w:rPr>
      </w:pPr>
    </w:p>
    <w:p w:rsidR="00F934C1" w:rsidRPr="002D6FC2" w:rsidRDefault="0036558A" w:rsidP="00F934C1">
      <w:pPr>
        <w:rPr>
          <w:rFonts w:ascii="Niagara Solid" w:eastAsia="TimesNewRomanPSMT" w:hAnsi="Niagara Solid"/>
        </w:rPr>
      </w:pPr>
      <m:oMathPara>
        <m:oMath>
          <m:f>
            <m:fPr>
              <m:ctrlPr>
                <w:rPr>
                  <w:rFonts w:ascii="Cambria Math" w:hAnsi="Cambria Math"/>
                </w:rPr>
              </m:ctrlPr>
            </m:fPr>
            <m:num>
              <m:r>
                <w:rPr>
                  <w:rFonts w:ascii="Cambria Math" w:hAnsi="Cambria Math"/>
                </w:rPr>
                <m:t>t</m:t>
              </m:r>
            </m:num>
            <m:den>
              <m:sSub>
                <m:sSubPr>
                  <m:ctrlPr>
                    <w:rPr>
                      <w:rFonts w:ascii="Cambria Math" w:eastAsia="TimesNewRomanPSMT" w:hAnsi="Cambria Math"/>
                    </w:rPr>
                  </m:ctrlPr>
                </m:sSubPr>
                <m:e>
                  <m:r>
                    <w:rPr>
                      <w:rFonts w:ascii="Cambria Math" w:eastAsia="TimesNewRomanPSMT" w:hAnsi="Cambria Math"/>
                    </w:rPr>
                    <m:t>q</m:t>
                  </m:r>
                </m:e>
                <m:sub>
                  <m:r>
                    <m:rPr>
                      <m:sty m:val="p"/>
                    </m:rPr>
                    <w:rPr>
                      <w:rFonts w:ascii="Cambria Math" w:eastAsia="TimesNewRomanPSMT"/>
                    </w:rPr>
                    <m:t>t</m:t>
                  </m:r>
                </m:sub>
              </m:sSub>
            </m:den>
          </m:f>
          <m:r>
            <w:rPr>
              <w:rFonts w:ascii="Cambria Math"/>
            </w:rPr>
            <m:t>=</m:t>
          </m:r>
          <m:f>
            <m:fPr>
              <m:ctrlPr>
                <w:rPr>
                  <w:rFonts w:ascii="Cambria Math" w:hAnsi="Cambria Math"/>
                </w:rPr>
              </m:ctrlPr>
            </m:fPr>
            <m:num>
              <m:r>
                <m:rPr>
                  <m:sty m:val="p"/>
                </m:rPr>
                <w:rPr>
                  <w:rFonts w:ascii="Cambria Math"/>
                </w:rPr>
                <m:t>1</m:t>
              </m:r>
            </m:num>
            <m:den>
              <m:sSub>
                <m:sSubPr>
                  <m:ctrlPr>
                    <w:rPr>
                      <w:rFonts w:ascii="Cambria Math" w:eastAsia="TimesNewRomanPSMT" w:hAnsi="Cambria Math"/>
                    </w:rPr>
                  </m:ctrlPr>
                </m:sSubPr>
                <m:e>
                  <m:r>
                    <w:rPr>
                      <w:rFonts w:ascii="Cambria Math" w:eastAsia="TimesNewRomanPSMT" w:hAnsi="Cambria Math"/>
                    </w:rPr>
                    <m:t>k</m:t>
                  </m:r>
                </m:e>
                <m:sub>
                  <m:r>
                    <m:rPr>
                      <m:sty m:val="p"/>
                    </m:rPr>
                    <w:rPr>
                      <w:rFonts w:ascii="Cambria Math" w:eastAsia="TimesNewRomanPSMT"/>
                    </w:rPr>
                    <m:t>2</m:t>
                  </m:r>
                </m:sub>
              </m:sSub>
              <m:r>
                <w:rPr>
                  <w:rFonts w:ascii="Cambria Math"/>
                </w:rPr>
                <m:t>.</m:t>
              </m:r>
              <m:sSup>
                <m:sSupPr>
                  <m:ctrlPr>
                    <w:rPr>
                      <w:rFonts w:ascii="Cambria Math" w:eastAsia="TimesNewRomanPSMT" w:hAnsi="Cambria Math"/>
                    </w:rPr>
                  </m:ctrlPr>
                </m:sSupPr>
                <m:e>
                  <m:sSub>
                    <m:sSubPr>
                      <m:ctrlPr>
                        <w:rPr>
                          <w:rFonts w:ascii="Cambria Math" w:eastAsia="TimesNewRomanPSMT" w:hAnsi="Cambria Math"/>
                        </w:rPr>
                      </m:ctrlPr>
                    </m:sSubPr>
                    <m:e>
                      <m:r>
                        <w:rPr>
                          <w:rFonts w:ascii="Cambria Math" w:eastAsia="TimesNewRomanPSMT" w:hAnsi="Cambria Math"/>
                        </w:rPr>
                        <m:t>q</m:t>
                      </m:r>
                    </m:e>
                    <m:sub>
                      <m:r>
                        <m:rPr>
                          <m:sty m:val="p"/>
                        </m:rPr>
                        <w:rPr>
                          <w:rFonts w:ascii="Cambria Math" w:eastAsia="TimesNewRomanPSMT"/>
                        </w:rPr>
                        <m:t>e</m:t>
                      </m:r>
                    </m:sub>
                  </m:sSub>
                </m:e>
                <m:sup>
                  <m:r>
                    <w:rPr>
                      <w:rFonts w:ascii="Cambria Math" w:eastAsia="TimesNewRomanPSMT"/>
                    </w:rPr>
                    <m:t>2</m:t>
                  </m:r>
                </m:sup>
              </m:sSup>
            </m:den>
          </m:f>
          <m:r>
            <w:rPr>
              <w:rFonts w:ascii="Cambria Math"/>
            </w:rPr>
            <m:t>+</m:t>
          </m:r>
          <m:f>
            <m:fPr>
              <m:ctrlPr>
                <w:rPr>
                  <w:rFonts w:ascii="Cambria Math" w:hAnsi="Cambria Math"/>
                </w:rPr>
              </m:ctrlPr>
            </m:fPr>
            <m:num>
              <m:r>
                <m:rPr>
                  <m:sty m:val="p"/>
                </m:rPr>
                <w:rPr>
                  <w:rFonts w:ascii="Cambria Math"/>
                </w:rPr>
                <m:t>1</m:t>
              </m:r>
            </m:num>
            <m:den>
              <m:sSub>
                <m:sSubPr>
                  <m:ctrlPr>
                    <w:rPr>
                      <w:rFonts w:ascii="Cambria Math" w:eastAsia="TimesNewRomanPSMT" w:hAnsi="Cambria Math"/>
                    </w:rPr>
                  </m:ctrlPr>
                </m:sSubPr>
                <m:e>
                  <m:r>
                    <w:rPr>
                      <w:rFonts w:ascii="Cambria Math" w:eastAsia="TimesNewRomanPSMT" w:hAnsi="Cambria Math"/>
                    </w:rPr>
                    <m:t>q</m:t>
                  </m:r>
                </m:e>
                <m:sub>
                  <m:r>
                    <m:rPr>
                      <m:sty m:val="p"/>
                    </m:rPr>
                    <w:rPr>
                      <w:rFonts w:ascii="Cambria Math" w:eastAsia="TimesNewRomanPSMT"/>
                    </w:rPr>
                    <m:t>e</m:t>
                  </m:r>
                </m:sub>
              </m:sSub>
            </m:den>
          </m:f>
          <m:r>
            <w:rPr>
              <w:rFonts w:ascii="Cambria Math" w:hAnsi="Cambria Math"/>
            </w:rPr>
            <m:t>t……………………………………</m:t>
          </m:r>
          <m:r>
            <w:rPr>
              <w:rFonts w:ascii="Cambria Math"/>
            </w:rPr>
            <m:t>2.5</m:t>
          </m:r>
        </m:oMath>
      </m:oMathPara>
    </w:p>
    <w:p w:rsidR="00F934C1" w:rsidRPr="00BB4B6E" w:rsidRDefault="00F934C1" w:rsidP="00F934C1">
      <w:pPr>
        <w:rPr>
          <w:rFonts w:eastAsia="TimesNewRomanPSMT"/>
        </w:rPr>
      </w:pPr>
    </w:p>
    <w:p w:rsidR="00F934C1" w:rsidRPr="002D6FC2" w:rsidRDefault="00F934C1" w:rsidP="00F934C1">
      <w:pPr>
        <w:rPr>
          <w:rFonts w:eastAsia="TimesNewRomanPSMT"/>
        </w:rPr>
      </w:pPr>
      <w:r w:rsidRPr="002D6FC2">
        <w:rPr>
          <w:rFonts w:eastAsia="TimesNewRomanPSMT"/>
        </w:rPr>
        <w:lastRenderedPageBreak/>
        <w:t xml:space="preserve">Where </w:t>
      </w:r>
      <m:oMath>
        <m:sSub>
          <m:sSubPr>
            <m:ctrlPr>
              <w:rPr>
                <w:rFonts w:ascii="Cambria Math" w:eastAsia="TimesNewRomanPSMT" w:hAnsi="Cambria Math"/>
                <w:b/>
              </w:rPr>
            </m:ctrlPr>
          </m:sSubPr>
          <m:e>
            <m:r>
              <m:rPr>
                <m:sty m:val="bi"/>
              </m:rPr>
              <w:rPr>
                <w:rFonts w:ascii="Cambria Math" w:eastAsia="TimesNewRomanPSMT" w:hAnsi="Cambria Math"/>
              </w:rPr>
              <m:t>k</m:t>
            </m:r>
          </m:e>
          <m:sub>
            <m:r>
              <m:rPr>
                <m:sty m:val="b"/>
              </m:rPr>
              <w:rPr>
                <w:rFonts w:ascii="Cambria Math" w:eastAsia="TimesNewRomanPSMT" w:hAnsi="Cambria Math"/>
              </w:rPr>
              <m:t>2</m:t>
            </m:r>
          </m:sub>
        </m:sSub>
      </m:oMath>
      <w:r w:rsidRPr="002D6FC2">
        <w:rPr>
          <w:rFonts w:eastAsia="TimesNewRomanPSMT"/>
        </w:rPr>
        <w:t xml:space="preserve">(g/mg·min) is the rate constant of pseudo-second order adsorption process. The constants </w:t>
      </w:r>
      <m:oMath>
        <m:sSub>
          <m:sSubPr>
            <m:ctrlPr>
              <w:rPr>
                <w:rFonts w:ascii="Cambria Math" w:eastAsia="TimesNewRomanPSMT" w:hAnsi="Cambria Math"/>
                <w:b/>
              </w:rPr>
            </m:ctrlPr>
          </m:sSubPr>
          <m:e>
            <m:r>
              <m:rPr>
                <m:sty m:val="bi"/>
              </m:rPr>
              <w:rPr>
                <w:rFonts w:ascii="Cambria Math" w:eastAsia="TimesNewRomanPSMT" w:hAnsi="Cambria Math"/>
              </w:rPr>
              <m:t>q</m:t>
            </m:r>
          </m:e>
          <m:sub>
            <m:r>
              <m:rPr>
                <m:sty m:val="b"/>
              </m:rPr>
              <w:rPr>
                <w:rFonts w:ascii="Cambria Math" w:eastAsia="TimesNewRomanPSMT" w:hAnsi="Cambria Math"/>
              </w:rPr>
              <m:t>e</m:t>
            </m:r>
          </m:sub>
        </m:sSub>
      </m:oMath>
      <w:r w:rsidRPr="002D6FC2">
        <w:rPr>
          <w:rFonts w:eastAsia="TimesNewRomanPSMT"/>
        </w:rPr>
        <w:t xml:space="preserve">and </w:t>
      </w:r>
      <m:oMath>
        <m:sSub>
          <m:sSubPr>
            <m:ctrlPr>
              <w:rPr>
                <w:rFonts w:ascii="Cambria Math" w:eastAsia="TimesNewRomanPSMT" w:hAnsi="Cambria Math"/>
                <w:b/>
              </w:rPr>
            </m:ctrlPr>
          </m:sSubPr>
          <m:e>
            <m:r>
              <m:rPr>
                <m:sty m:val="bi"/>
              </m:rPr>
              <w:rPr>
                <w:rFonts w:ascii="Cambria Math" w:eastAsia="TimesNewRomanPSMT" w:hAnsi="Cambria Math"/>
              </w:rPr>
              <m:t>k</m:t>
            </m:r>
          </m:e>
          <m:sub>
            <m:r>
              <m:rPr>
                <m:sty m:val="b"/>
              </m:rPr>
              <w:rPr>
                <w:rFonts w:ascii="Cambria Math" w:eastAsia="TimesNewRomanPSMT" w:hAnsi="Cambria Math"/>
              </w:rPr>
              <m:t>2</m:t>
            </m:r>
          </m:sub>
        </m:sSub>
      </m:oMath>
      <w:r w:rsidRPr="002D6FC2">
        <w:rPr>
          <w:rFonts w:eastAsia="TimesNewRomanPSMT"/>
        </w:rPr>
        <w:t xml:space="preserve">were worked from a plot of </w:t>
      </w:r>
      <m:oMath>
        <m:f>
          <m:fPr>
            <m:ctrlPr>
              <w:rPr>
                <w:rFonts w:ascii="Cambria Math" w:hAnsi="Cambria Math"/>
                <w:b/>
              </w:rPr>
            </m:ctrlPr>
          </m:fPr>
          <m:num>
            <m:r>
              <m:rPr>
                <m:sty m:val="bi"/>
              </m:rPr>
              <w:rPr>
                <w:rFonts w:ascii="Cambria Math" w:hAnsi="Cambria Math"/>
              </w:rPr>
              <m:t>t</m:t>
            </m:r>
          </m:num>
          <m:den>
            <m:sSub>
              <m:sSubPr>
                <m:ctrlPr>
                  <w:rPr>
                    <w:rFonts w:ascii="Cambria Math" w:eastAsia="TimesNewRomanPSMT" w:hAnsi="Cambria Math"/>
                    <w:b/>
                  </w:rPr>
                </m:ctrlPr>
              </m:sSubPr>
              <m:e>
                <m:r>
                  <m:rPr>
                    <m:sty m:val="bi"/>
                  </m:rPr>
                  <w:rPr>
                    <w:rFonts w:ascii="Cambria Math" w:eastAsia="TimesNewRomanPSMT" w:hAnsi="Cambria Math"/>
                  </w:rPr>
                  <m:t>q</m:t>
                </m:r>
              </m:e>
              <m:sub>
                <m:r>
                  <m:rPr>
                    <m:sty m:val="b"/>
                  </m:rPr>
                  <w:rPr>
                    <w:rFonts w:ascii="Cambria Math" w:eastAsia="TimesNewRomanPSMT" w:hAnsi="Cambria Math"/>
                  </w:rPr>
                  <m:t>t</m:t>
                </m:r>
              </m:sub>
            </m:sSub>
          </m:den>
        </m:f>
      </m:oMath>
      <w:r w:rsidRPr="002D6FC2">
        <w:rPr>
          <w:rFonts w:eastAsia="TimesNewRomanPSMT"/>
        </w:rPr>
        <w:t xml:space="preserve"> versus </w:t>
      </w:r>
      <w:r w:rsidRPr="002D6FC2">
        <w:rPr>
          <w:b/>
          <w:iCs/>
        </w:rPr>
        <w:t>t</w:t>
      </w:r>
      <w:r w:rsidRPr="002D6FC2">
        <w:rPr>
          <w:rFonts w:eastAsia="TimesNewRomanPSMT"/>
        </w:rPr>
        <w:t>. as reciprocal of gradient and Y-intercept divide by</w:t>
      </w:r>
      <m:oMath>
        <m:r>
          <w:rPr>
            <w:rFonts w:ascii="Cambria Math" w:eastAsia="TimesNewRomanPSMT" w:hAnsi="Cambria Math"/>
          </w:rPr>
          <m:t xml:space="preserve"> </m:t>
        </m:r>
        <m:sSup>
          <m:sSupPr>
            <m:ctrlPr>
              <w:rPr>
                <w:rFonts w:ascii="Cambria Math" w:eastAsia="TimesNewRomanPSMT" w:hAnsi="Cambria Math"/>
              </w:rPr>
            </m:ctrlPr>
          </m:sSupPr>
          <m:e>
            <m:sSub>
              <m:sSubPr>
                <m:ctrlPr>
                  <w:rPr>
                    <w:rFonts w:ascii="Cambria Math" w:eastAsia="TimesNewRomanPSMT" w:hAnsi="Cambria Math"/>
                  </w:rPr>
                </m:ctrlPr>
              </m:sSubPr>
              <m:e>
                <m:r>
                  <w:rPr>
                    <w:rFonts w:ascii="Cambria Math" w:eastAsia="TimesNewRomanPSMT" w:hAnsi="Cambria Math"/>
                  </w:rPr>
                  <m:t>q</m:t>
                </m:r>
              </m:e>
              <m:sub>
                <m:r>
                  <m:rPr>
                    <m:sty m:val="p"/>
                  </m:rPr>
                  <w:rPr>
                    <w:rFonts w:ascii="Cambria Math" w:eastAsia="TimesNewRomanPSMT"/>
                  </w:rPr>
                  <m:t>e</m:t>
                </m:r>
              </m:sub>
            </m:sSub>
          </m:e>
          <m:sup>
            <m:r>
              <w:rPr>
                <w:rFonts w:ascii="Cambria Math" w:eastAsia="TimesNewRomanPSMT"/>
              </w:rPr>
              <m:t xml:space="preserve">2 </m:t>
            </m:r>
          </m:sup>
        </m:sSup>
      </m:oMath>
      <w:r w:rsidRPr="002D6FC2">
        <w:rPr>
          <w:rFonts w:eastAsia="TimesNewRomanPSMT"/>
        </w:rPr>
        <w:t xml:space="preserve">respectively. </w:t>
      </w:r>
    </w:p>
    <w:p w:rsidR="00F934C1" w:rsidRPr="00BB4B6E" w:rsidRDefault="00F934C1" w:rsidP="00F934C1">
      <w:pPr>
        <w:rPr>
          <w:bCs/>
          <w:color w:val="0E101A"/>
        </w:rPr>
      </w:pPr>
    </w:p>
    <w:p w:rsidR="00F934C1" w:rsidRPr="00BB4B6E" w:rsidRDefault="00F934C1" w:rsidP="00F934C1">
      <w:pPr>
        <w:pStyle w:val="Heading2"/>
      </w:pPr>
      <w:bookmarkStart w:id="80" w:name="_Toc144820015"/>
      <w:r>
        <w:t>2.8</w:t>
      </w:r>
      <w:r w:rsidR="0062719F">
        <w:t xml:space="preserve"> </w:t>
      </w:r>
      <w:r w:rsidRPr="00FF635A">
        <w:t>Analytical</w:t>
      </w:r>
      <w:r w:rsidRPr="00BB4B6E">
        <w:t xml:space="preserve"> Methods</w:t>
      </w:r>
      <w:bookmarkEnd w:id="80"/>
    </w:p>
    <w:p w:rsidR="00F934C1" w:rsidRPr="00BB4B6E" w:rsidRDefault="00F934C1" w:rsidP="00F934C1">
      <w:r w:rsidRPr="00BB4B6E">
        <w:t>The atomic absorption spectroscopy (AAS) has been used for determination of several heavy metals including Cd and Pb (</w:t>
      </w:r>
      <w:r w:rsidRPr="00BB4B6E">
        <w:rPr>
          <w:bCs/>
        </w:rPr>
        <w:t xml:space="preserve">Asare </w:t>
      </w:r>
      <w:r w:rsidRPr="00BB4B6E">
        <w:rPr>
          <w:bCs/>
          <w:i/>
        </w:rPr>
        <w:t>et al</w:t>
      </w:r>
      <w:r w:rsidRPr="00BB4B6E">
        <w:rPr>
          <w:bCs/>
        </w:rPr>
        <w:t>., 2019</w:t>
      </w:r>
      <w:r w:rsidRPr="00BB4B6E">
        <w:t>) whiles the techniques UV-visible, FTIR,</w:t>
      </w:r>
      <w:r>
        <w:t xml:space="preserve"> XRD</w:t>
      </w:r>
      <w:r w:rsidRPr="00BB4B6E">
        <w:t xml:space="preserve"> and SEM are important in characterization of nano-fertilizers (</w:t>
      </w:r>
      <w:r w:rsidRPr="00BB4B6E">
        <w:rPr>
          <w:color w:val="0E101A"/>
        </w:rPr>
        <w:t xml:space="preserve">Naeem </w:t>
      </w:r>
      <w:r w:rsidRPr="00BB4B6E">
        <w:rPr>
          <w:i/>
          <w:color w:val="0E101A"/>
        </w:rPr>
        <w:t xml:space="preserve">et </w:t>
      </w:r>
      <w:r w:rsidRPr="00BB4B6E">
        <w:rPr>
          <w:rStyle w:val="Emphasis"/>
          <w:color w:val="0E101A"/>
        </w:rPr>
        <w:t>al</w:t>
      </w:r>
      <w:r w:rsidRPr="00BB4B6E">
        <w:rPr>
          <w:color w:val="0E101A"/>
        </w:rPr>
        <w:t>., 2018</w:t>
      </w:r>
      <w:r w:rsidRPr="00BB4B6E">
        <w:t>).</w:t>
      </w:r>
    </w:p>
    <w:p w:rsidR="00F934C1" w:rsidRPr="00BB4B6E" w:rsidRDefault="00F934C1" w:rsidP="00F934C1"/>
    <w:p w:rsidR="00F934C1" w:rsidRPr="00BB4B6E" w:rsidRDefault="00F934C1" w:rsidP="00F934C1">
      <w:pPr>
        <w:pStyle w:val="Heading3"/>
      </w:pPr>
      <w:bookmarkStart w:id="81" w:name="_Toc144820016"/>
      <w:r>
        <w:t>2.8</w:t>
      </w:r>
      <w:r w:rsidRPr="00BB4B6E">
        <w:t xml:space="preserve">.1 </w:t>
      </w:r>
      <w:r w:rsidRPr="00FF635A">
        <w:t>Atomic</w:t>
      </w:r>
      <w:r w:rsidRPr="00BB4B6E">
        <w:t xml:space="preserve"> Absorption Spectroscopy</w:t>
      </w:r>
      <w:bookmarkEnd w:id="81"/>
    </w:p>
    <w:p w:rsidR="00F934C1" w:rsidRPr="00BB4B6E" w:rsidRDefault="00F934C1" w:rsidP="00F934C1">
      <w:pPr>
        <w:pStyle w:val="NormalWeb"/>
        <w:spacing w:before="0" w:beforeAutospacing="0" w:after="0" w:afterAutospacing="0" w:line="480" w:lineRule="auto"/>
        <w:rPr>
          <w:szCs w:val="26"/>
        </w:rPr>
      </w:pPr>
      <w:r w:rsidRPr="00BB4B6E">
        <w:rPr>
          <w:color w:val="0E101A"/>
        </w:rPr>
        <w:t>The AAS is a versatile method for measuring the concentration of several metals in sample matrix and it’s anchored upon the absorption of radiation by free metal atoms (</w:t>
      </w:r>
      <w:r w:rsidRPr="00BB4B6E">
        <w:rPr>
          <w:bCs/>
        </w:rPr>
        <w:t xml:space="preserve">Asare </w:t>
      </w:r>
      <w:r w:rsidRPr="00BB4B6E">
        <w:rPr>
          <w:bCs/>
          <w:i/>
        </w:rPr>
        <w:t>et al</w:t>
      </w:r>
      <w:r w:rsidRPr="00BB4B6E">
        <w:rPr>
          <w:bCs/>
        </w:rPr>
        <w:t>., 2019</w:t>
      </w:r>
      <w:r w:rsidRPr="00BB4B6E">
        <w:rPr>
          <w:color w:val="0E101A"/>
        </w:rPr>
        <w:t xml:space="preserve">). It is a commonly used technique due to its sensitivity and reliability, in addition to having a low operating cost (Naeem </w:t>
      </w:r>
      <w:r w:rsidRPr="00BB4B6E">
        <w:rPr>
          <w:i/>
          <w:color w:val="0E101A"/>
        </w:rPr>
        <w:t xml:space="preserve">et </w:t>
      </w:r>
      <w:r w:rsidRPr="00BB4B6E">
        <w:rPr>
          <w:rStyle w:val="Emphasis"/>
          <w:color w:val="0E101A"/>
        </w:rPr>
        <w:t>al</w:t>
      </w:r>
      <w:r w:rsidRPr="00BB4B6E">
        <w:rPr>
          <w:color w:val="0E101A"/>
        </w:rPr>
        <w:t xml:space="preserve">., 2018). It is faster in the analysis of numerous samples and it entails the study of the absorption of characteristic radiation by neutral gaseous atoms to move from ground state to excited state. In principle, the sample solution is introduced into the flame where it is transformed into aerosol. The analyte sample is then changed into atomic vapor by the flame. The absorption of radiation by the excited neutral atoms is measured at a specific wavelength which is characteristic to metal being analyzed. For Cd and Pb analysis, their lamps of wavelengths </w:t>
      </w:r>
      <w:r w:rsidRPr="00BB4B6E">
        <w:t xml:space="preserve">228.8 nm and 283.3 nm respectively can be used. </w:t>
      </w:r>
    </w:p>
    <w:p w:rsidR="00F934C1" w:rsidRPr="00BB4B6E" w:rsidRDefault="00F934C1" w:rsidP="00F934C1">
      <w:pPr>
        <w:pStyle w:val="NormalWeb"/>
        <w:spacing w:before="0" w:beforeAutospacing="0" w:after="0" w:afterAutospacing="0" w:line="480" w:lineRule="auto"/>
      </w:pPr>
    </w:p>
    <w:p w:rsidR="00F934C1" w:rsidRPr="00BB4B6E" w:rsidRDefault="00F934C1" w:rsidP="00F934C1">
      <w:pPr>
        <w:pStyle w:val="NormalWeb"/>
        <w:spacing w:before="0" w:beforeAutospacing="0" w:after="0" w:afterAutospacing="0" w:line="480" w:lineRule="auto"/>
        <w:rPr>
          <w:color w:val="0E101A"/>
        </w:rPr>
      </w:pPr>
      <w:r w:rsidRPr="00BB4B6E">
        <w:rPr>
          <w:color w:val="0E101A"/>
        </w:rPr>
        <w:lastRenderedPageBreak/>
        <w:t xml:space="preserve">Hollow cathode lamp made of metal being analyzed is the source of radiation. At lower concentrations, the absorbance is directly proportional to the analyte concentration of metal atoms. The analysis is completed by a comparison of the absorbance of analyte samples with that of the standards samples of different known concentration using the calibration curve. According to Beer Lambert’s law at low concentration the analyte concentration is linearly correlated to the absorbance (Pramod </w:t>
      </w:r>
      <w:r w:rsidRPr="00BB4B6E">
        <w:rPr>
          <w:rStyle w:val="Emphasis"/>
          <w:rFonts w:eastAsiaTheme="majorEastAsia"/>
          <w:color w:val="0E101A"/>
        </w:rPr>
        <w:t>et al</w:t>
      </w:r>
      <w:r>
        <w:rPr>
          <w:color w:val="0E101A"/>
        </w:rPr>
        <w:t>., 2013), as shown in E</w:t>
      </w:r>
      <w:r w:rsidRPr="00BB4B6E">
        <w:rPr>
          <w:color w:val="0E101A"/>
        </w:rPr>
        <w:t>quation 2.6.</w:t>
      </w:r>
    </w:p>
    <w:p w:rsidR="00F934C1" w:rsidRPr="00BB4B6E" w:rsidRDefault="00F934C1" w:rsidP="00F934C1">
      <w:pPr>
        <w:rPr>
          <w:rFonts w:eastAsiaTheme="minorEastAsia"/>
        </w:rPr>
      </w:pPr>
      <m:oMath>
        <m:r>
          <m:rPr>
            <m:sty m:val="bi"/>
          </m:rPr>
          <w:rPr>
            <w:rFonts w:ascii="Cambria Math" w:hAnsi="Cambria Math"/>
          </w:rPr>
          <m:t>A</m:t>
        </m:r>
        <m:r>
          <w:rPr>
            <w:rFonts w:ascii="Cambria Math" w:hAnsi="Cambria Math"/>
          </w:rPr>
          <m:t>=-</m:t>
        </m:r>
        <m:r>
          <m:rPr>
            <m:sty m:val="bi"/>
          </m:rPr>
          <w:rPr>
            <w:rFonts w:ascii="Cambria Math" w:hAnsi="Cambria Math"/>
          </w:rPr>
          <m:t>log</m:t>
        </m:r>
        <m:f>
          <m:fPr>
            <m:ctrlPr>
              <w:rPr>
                <w:rFonts w:ascii="Cambria Math" w:hAnsi="Cambria Math"/>
                <w:i/>
              </w:rPr>
            </m:ctrlPr>
          </m:fPr>
          <m:num>
            <m:r>
              <m:rPr>
                <m:sty m:val="bi"/>
              </m:rPr>
              <w:rPr>
                <w:rFonts w:ascii="Cambria Math" w:hAnsi="Cambria Math"/>
              </w:rPr>
              <m:t>It</m:t>
            </m:r>
          </m:num>
          <m:den>
            <m:r>
              <m:rPr>
                <m:sty m:val="bi"/>
              </m:rPr>
              <w:rPr>
                <w:rFonts w:ascii="Cambria Math" w:hAnsi="Cambria Math"/>
              </w:rPr>
              <m:t>Io</m:t>
            </m:r>
          </m:den>
        </m:f>
        <m:r>
          <w:rPr>
            <w:rFonts w:ascii="Cambria Math" w:hAnsi="Cambria Math"/>
          </w:rPr>
          <m:t>=∈</m:t>
        </m:r>
        <m:r>
          <m:rPr>
            <m:sty m:val="bi"/>
          </m:rPr>
          <w:rPr>
            <w:rFonts w:ascii="Cambria Math" w:hAnsi="Cambria Math"/>
          </w:rPr>
          <m:t xml:space="preserve">Cl                                                                                         </m:t>
        </m:r>
      </m:oMath>
      <w:r w:rsidRPr="00BB4B6E">
        <w:rPr>
          <w:rFonts w:eastAsiaTheme="minorEastAsia"/>
        </w:rPr>
        <w:t>2.6</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NormalWeb"/>
        <w:spacing w:before="0" w:beforeAutospacing="0" w:after="0" w:afterAutospacing="0" w:line="480" w:lineRule="auto"/>
        <w:rPr>
          <w:color w:val="0E101A"/>
        </w:rPr>
      </w:pPr>
      <w:r w:rsidRPr="00BB4B6E">
        <w:rPr>
          <w:color w:val="0E101A"/>
        </w:rPr>
        <w:t>Where:-</w:t>
      </w:r>
    </w:p>
    <w:p w:rsidR="00F934C1" w:rsidRPr="00BB4B6E" w:rsidRDefault="00F934C1" w:rsidP="00F934C1">
      <w:pPr>
        <w:pStyle w:val="NormalWeb"/>
        <w:spacing w:before="0" w:beforeAutospacing="0" w:after="0" w:afterAutospacing="0" w:line="480" w:lineRule="auto"/>
        <w:rPr>
          <w:color w:val="0E101A"/>
        </w:rPr>
      </w:pPr>
      <w:r>
        <w:rPr>
          <w:color w:val="0E101A"/>
        </w:rPr>
        <w:t>A = Absorbance of the analyte</w:t>
      </w:r>
    </w:p>
    <w:p w:rsidR="00F934C1" w:rsidRPr="00BB4B6E" w:rsidRDefault="00F934C1" w:rsidP="00F934C1">
      <w:pPr>
        <w:pStyle w:val="NormalWeb"/>
        <w:spacing w:before="0" w:beforeAutospacing="0" w:after="0" w:afterAutospacing="0" w:line="480" w:lineRule="auto"/>
        <w:rPr>
          <w:color w:val="0E101A"/>
        </w:rPr>
      </w:pPr>
      <m:oMath>
        <m:r>
          <w:rPr>
            <w:rFonts w:ascii="Cambria Math" w:hAnsi="Cambria Math"/>
          </w:rPr>
          <m:t xml:space="preserve">∈ </m:t>
        </m:r>
      </m:oMath>
      <w:r w:rsidRPr="00BB4B6E">
        <w:t>=</w:t>
      </w:r>
      <w:r w:rsidRPr="00BB4B6E">
        <w:rPr>
          <w:color w:val="0E101A"/>
        </w:rPr>
        <w:t>Molar absorptivity of the analyte (L.mol</w:t>
      </w:r>
      <w:r w:rsidRPr="00BB4B6E">
        <w:rPr>
          <w:color w:val="0E101A"/>
          <w:vertAlign w:val="superscript"/>
        </w:rPr>
        <w:t>-1</w:t>
      </w:r>
      <w:r w:rsidRPr="00BB4B6E">
        <w:rPr>
          <w:color w:val="0E101A"/>
        </w:rPr>
        <w:t>cm</w:t>
      </w:r>
      <w:r w:rsidRPr="00BB4B6E">
        <w:rPr>
          <w:color w:val="0E101A"/>
          <w:vertAlign w:val="superscript"/>
        </w:rPr>
        <w:t>-1</w:t>
      </w:r>
      <w:r>
        <w:rPr>
          <w:color w:val="0E101A"/>
        </w:rPr>
        <w:t>)</w:t>
      </w:r>
    </w:p>
    <w:p w:rsidR="00F934C1" w:rsidRPr="00BB4B6E" w:rsidRDefault="00F934C1" w:rsidP="00F934C1">
      <w:pPr>
        <w:pStyle w:val="NormalWeb"/>
        <w:spacing w:before="0" w:beforeAutospacing="0" w:after="0" w:afterAutospacing="0" w:line="480" w:lineRule="auto"/>
        <w:rPr>
          <w:color w:val="0E101A"/>
        </w:rPr>
      </w:pPr>
      <w:r w:rsidRPr="00BB4B6E">
        <w:rPr>
          <w:color w:val="0E101A"/>
        </w:rPr>
        <w:t>c= Concentration of the analyte (mol.L</w:t>
      </w:r>
      <w:r w:rsidRPr="00BB4B6E">
        <w:rPr>
          <w:color w:val="0E101A"/>
          <w:vertAlign w:val="superscript"/>
        </w:rPr>
        <w:t>-1</w:t>
      </w:r>
      <w:r>
        <w:rPr>
          <w:color w:val="0E101A"/>
        </w:rPr>
        <w:t>)</w:t>
      </w:r>
    </w:p>
    <w:p w:rsidR="00F934C1" w:rsidRPr="00BB4B6E" w:rsidRDefault="00F934C1" w:rsidP="00F934C1">
      <w:pPr>
        <w:pStyle w:val="NormalWeb"/>
        <w:spacing w:before="0" w:beforeAutospacing="0" w:after="0" w:afterAutospacing="0" w:line="480" w:lineRule="auto"/>
        <w:rPr>
          <w:color w:val="0E101A"/>
        </w:rPr>
      </w:pPr>
      <m:oMath>
        <m:r>
          <m:rPr>
            <m:sty m:val="bi"/>
          </m:rPr>
          <w:rPr>
            <w:rFonts w:ascii="Cambria Math" w:hAnsi="Cambria Math"/>
          </w:rPr>
          <m:t>l</m:t>
        </m:r>
      </m:oMath>
      <w:r>
        <w:rPr>
          <w:color w:val="0E101A"/>
        </w:rPr>
        <w:t>= path length the cell (cm)</w:t>
      </w:r>
    </w:p>
    <w:p w:rsidR="00F934C1" w:rsidRPr="00BB4B6E" w:rsidRDefault="00F934C1" w:rsidP="00F934C1">
      <w:pPr>
        <w:pStyle w:val="NormalWeb"/>
        <w:spacing w:before="0" w:beforeAutospacing="0" w:after="0" w:afterAutospacing="0" w:line="480" w:lineRule="auto"/>
        <w:rPr>
          <w:color w:val="0E101A"/>
        </w:rPr>
      </w:pPr>
      <w:r w:rsidRPr="00BB4B6E">
        <w:rPr>
          <w:color w:val="0E101A"/>
        </w:rPr>
        <w:t>I</w:t>
      </w:r>
      <w:r w:rsidRPr="00BB4B6E">
        <w:rPr>
          <w:color w:val="0E101A"/>
          <w:vertAlign w:val="subscript"/>
        </w:rPr>
        <w:t>t</w:t>
      </w:r>
      <w:r w:rsidRPr="00BB4B6E">
        <w:rPr>
          <w:color w:val="0E101A"/>
        </w:rPr>
        <w:t xml:space="preserve"> and I</w:t>
      </w:r>
      <w:r w:rsidRPr="00BB4B6E">
        <w:rPr>
          <w:color w:val="0E101A"/>
          <w:vertAlign w:val="subscript"/>
        </w:rPr>
        <w:t>o</w:t>
      </w:r>
      <w:r w:rsidRPr="00BB4B6E">
        <w:rPr>
          <w:color w:val="0E101A"/>
        </w:rPr>
        <w:t xml:space="preserve"> = transmitted light intensity and incide</w:t>
      </w:r>
      <w:r>
        <w:rPr>
          <w:color w:val="0E101A"/>
        </w:rPr>
        <w:t>nt light intensity respectively</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Heading3"/>
        <w:spacing w:before="0"/>
        <w:rPr>
          <w:rFonts w:cs="Times New Roman"/>
          <w:color w:val="0E101A"/>
        </w:rPr>
      </w:pPr>
      <w:bookmarkStart w:id="82" w:name="_Toc144820017"/>
      <w:r>
        <w:rPr>
          <w:rFonts w:cs="Times New Roman"/>
          <w:color w:val="0E101A"/>
        </w:rPr>
        <w:t>2.8</w:t>
      </w:r>
      <w:r w:rsidRPr="00BB4B6E">
        <w:rPr>
          <w:rFonts w:cs="Times New Roman"/>
          <w:color w:val="0E101A"/>
        </w:rPr>
        <w:t>.2 Nanoparticle Characterization Methods</w:t>
      </w:r>
      <w:bookmarkEnd w:id="82"/>
    </w:p>
    <w:p w:rsidR="00F934C1" w:rsidRPr="00BB4B6E" w:rsidRDefault="00F934C1" w:rsidP="00F934C1">
      <w:pPr>
        <w:rPr>
          <w:color w:val="0E101A"/>
        </w:rPr>
      </w:pPr>
      <w:r w:rsidRPr="00BB4B6E">
        <w:rPr>
          <w:color w:val="0E101A"/>
        </w:rPr>
        <w:t xml:space="preserve">For monitoring of formation and characterization of nanoparticles, several experimental techniques have been applied such as FTIR, SEM and XRD (Joshi </w:t>
      </w:r>
      <w:r w:rsidRPr="00BB4B6E">
        <w:rPr>
          <w:i/>
          <w:iCs/>
          <w:color w:val="0E101A"/>
        </w:rPr>
        <w:t>et al</w:t>
      </w:r>
      <w:r w:rsidRPr="00BB4B6E">
        <w:rPr>
          <w:color w:val="0E101A"/>
        </w:rPr>
        <w:t xml:space="preserve">., 2018; Montanzeri </w:t>
      </w:r>
      <w:r w:rsidRPr="00BB4B6E">
        <w:rPr>
          <w:i/>
          <w:iCs/>
          <w:color w:val="0E101A"/>
        </w:rPr>
        <w:t>et al</w:t>
      </w:r>
      <w:r w:rsidRPr="00BB4B6E">
        <w:rPr>
          <w:color w:val="0E101A"/>
        </w:rPr>
        <w:t>., 2010).</w:t>
      </w:r>
    </w:p>
    <w:p w:rsidR="00F934C1" w:rsidRPr="00BB4B6E" w:rsidRDefault="00F934C1" w:rsidP="00F934C1"/>
    <w:p w:rsidR="00F934C1" w:rsidRPr="00B8137E" w:rsidRDefault="00F934C1" w:rsidP="00F934C1">
      <w:pPr>
        <w:pStyle w:val="Heading3"/>
      </w:pPr>
      <w:bookmarkStart w:id="83" w:name="_Toc144820018"/>
      <w:r w:rsidRPr="00B8137E">
        <w:t>2.8</w:t>
      </w:r>
      <w:r>
        <w:t>.2</w:t>
      </w:r>
      <w:r w:rsidRPr="00B8137E">
        <w:t>.1 Fourier Transform Infrared Spectroscopy</w:t>
      </w:r>
      <w:bookmarkEnd w:id="83"/>
    </w:p>
    <w:p w:rsidR="00F934C1" w:rsidRDefault="00F934C1" w:rsidP="00F934C1">
      <w:r w:rsidRPr="00BB4B6E">
        <w:rPr>
          <w:color w:val="0E101A"/>
        </w:rPr>
        <w:t xml:space="preserve">Fourier transform infrared spectroscopy (FTIR) spectrum is used to characterize compounds especially organic and inorganic materials for sake of identifying </w:t>
      </w:r>
      <w:r w:rsidRPr="00BB4B6E">
        <w:rPr>
          <w:color w:val="0E101A"/>
        </w:rPr>
        <w:lastRenderedPageBreak/>
        <w:t>functional groups.</w:t>
      </w:r>
      <w:r w:rsidRPr="00BB4B6E">
        <w:t xml:space="preserve"> These is achieved by irradia</w:t>
      </w:r>
      <w:r>
        <w:t>ting IR rays to interacts with</w:t>
      </w:r>
      <w:r w:rsidRPr="00BB4B6E">
        <w:t xml:space="preserve"> sample’s, atoms, ions and functional groups which eventually vibrate their bonds to result in absorption of energy, corresponding to each vibrational mode and bending of a functional group (Tarfader </w:t>
      </w:r>
      <w:r w:rsidRPr="00BB4B6E">
        <w:rPr>
          <w:i/>
        </w:rPr>
        <w:t>et al</w:t>
      </w:r>
      <w:r w:rsidRPr="00BB4B6E">
        <w:t xml:space="preserve">., 2020). The principle of operation of FTIR involves the emission of IR energy from an infrared source. This IR beam is directed through a small opening to interact with the sample where particular energy frequencies are absorbed. The measurement of interferogram signal is done by the detector, then the signal is digitized to give FTIR spectrum </w:t>
      </w:r>
      <w:r w:rsidR="00C226E6" w:rsidRPr="00BB4B6E">
        <w:fldChar w:fldCharType="begin" w:fldLock="1"/>
      </w:r>
      <w:r w:rsidRPr="00BB4B6E">
        <w:instrText>ADDIN CSL_CITATION {"citationItems":[{"id":"ITEM-1","itemData":{"author":[{"dropping-particle":"","family":"Nicolet","given":"Thermo","non-dropping-particle":"","parse-names":false,"suffix":""},{"dropping-particle":"","family":"All","given":"C","non-dropping-particle":"","parse-names":false,"suffix":""}],"container-title":"A Thermo Electron Bussines","id":"ITEM-1","issued":{"date-parts":[["2001"]]},"page":"1-8","title":"Introduction to fourier transform infrared spectrometry","type":"article-journal"},"uris":["http://www.mendeley.com/documents/?uuid=874bcd2d-eaf0-42ab-910d-fa156808fc87"]}],"mendeley":{"formattedCitation":"(Nicolet &amp; All, 2001)","manualFormatting":"(Nicolet, 2001; Griffiths and De Haseth, 2007; Smith, 2011; Skoog et al., 2017)","plainTextFormattedCitation":"(Nicolet &amp; All, 2001)","previouslyFormattedCitation":"(Nicolet &amp; All, 2001)"},"properties":{"noteIndex":0},"schema":"https://github.com/citation-style-language/schema/raw/master/csl-citation.json"}</w:instrText>
      </w:r>
      <w:r w:rsidR="00C226E6" w:rsidRPr="00BB4B6E">
        <w:fldChar w:fldCharType="separate"/>
      </w:r>
      <w:r w:rsidRPr="00BB4B6E">
        <w:t xml:space="preserve">(Joshi </w:t>
      </w:r>
      <w:r w:rsidRPr="00BB4B6E">
        <w:rPr>
          <w:i/>
          <w:iCs/>
        </w:rPr>
        <w:t>et al</w:t>
      </w:r>
      <w:r w:rsidRPr="00BB4B6E">
        <w:t xml:space="preserve">., 2018; Montanzeri </w:t>
      </w:r>
      <w:r w:rsidRPr="00BB4B6E">
        <w:rPr>
          <w:i/>
          <w:iCs/>
        </w:rPr>
        <w:t>et al</w:t>
      </w:r>
      <w:r w:rsidRPr="00BB4B6E">
        <w:t>., 2010</w:t>
      </w:r>
      <w:r w:rsidRPr="00BB4B6E">
        <w:rPr>
          <w:noProof/>
        </w:rPr>
        <w:t>)</w:t>
      </w:r>
      <w:r w:rsidR="00C226E6" w:rsidRPr="00BB4B6E">
        <w:fldChar w:fldCharType="end"/>
      </w:r>
      <w:r w:rsidRPr="00BB4B6E">
        <w:t>.</w:t>
      </w:r>
    </w:p>
    <w:p w:rsidR="00F934C1" w:rsidRPr="00BB4B6E" w:rsidRDefault="00F934C1" w:rsidP="00F934C1"/>
    <w:p w:rsidR="00F934C1" w:rsidRPr="00BB4B6E" w:rsidRDefault="00F934C1" w:rsidP="00F934C1">
      <w:pPr>
        <w:rPr>
          <w:color w:val="FF0000"/>
        </w:rPr>
      </w:pPr>
      <w:r w:rsidRPr="00BB4B6E">
        <w:rPr>
          <w:color w:val="0E101A"/>
        </w:rPr>
        <w:t xml:space="preserve">From such spectra, structural information and the chemical bonds of nanoparticles obtained can be compared with those cataloged in FTIR spectra to enable the identification of the nanofertilizers, such as the bone nHA responsible for adsorption of metal ions and gradual release of nutrients (Karthik </w:t>
      </w:r>
      <w:r w:rsidRPr="00BB4B6E">
        <w:rPr>
          <w:i/>
          <w:iCs/>
          <w:color w:val="0E101A"/>
        </w:rPr>
        <w:t>et al</w:t>
      </w:r>
      <w:r w:rsidRPr="00BB4B6E">
        <w:rPr>
          <w:color w:val="0E101A"/>
        </w:rPr>
        <w:t>., 2019).</w:t>
      </w:r>
    </w:p>
    <w:p w:rsidR="00F934C1" w:rsidRPr="00BB4B6E" w:rsidRDefault="00F934C1" w:rsidP="00F934C1"/>
    <w:p w:rsidR="00F934C1" w:rsidRPr="00BB4B6E" w:rsidRDefault="00F934C1" w:rsidP="00F934C1">
      <w:r w:rsidRPr="00BB4B6E">
        <w:t xml:space="preserve">Studies done by Birendra </w:t>
      </w:r>
      <w:r w:rsidRPr="00BB4B6E">
        <w:rPr>
          <w:i/>
        </w:rPr>
        <w:t>et al</w:t>
      </w:r>
      <w:r w:rsidRPr="00BB4B6E">
        <w:t>. (2019) indicate that FTIR was used to characterize synthetic nHA nanoparticles by vibrational modes of OH</w:t>
      </w:r>
      <w:r w:rsidRPr="00BB4B6E">
        <w:rPr>
          <w:vertAlign w:val="superscript"/>
        </w:rPr>
        <w:t>-</w:t>
      </w:r>
      <w:r w:rsidRPr="00BB4B6E">
        <w:t xml:space="preserve"> and PO</w:t>
      </w:r>
      <w:r w:rsidRPr="00BB4B6E">
        <w:rPr>
          <w:vertAlign w:val="subscript"/>
        </w:rPr>
        <w:t>4</w:t>
      </w:r>
      <w:r w:rsidRPr="00BB4B6E">
        <w:rPr>
          <w:vertAlign w:val="superscript"/>
        </w:rPr>
        <w:t>3-</w:t>
      </w:r>
      <w:r w:rsidRPr="00BB4B6E">
        <w:t>. The spectra of nHA nanoparticles showed band corresponding to PO</w:t>
      </w:r>
      <w:r w:rsidRPr="00BB4B6E">
        <w:rPr>
          <w:vertAlign w:val="subscript"/>
        </w:rPr>
        <w:t>4</w:t>
      </w:r>
      <w:r w:rsidRPr="00BB4B6E">
        <w:rPr>
          <w:vertAlign w:val="superscript"/>
        </w:rPr>
        <w:t>3-</w:t>
      </w:r>
      <w:r w:rsidRPr="00BB4B6E">
        <w:t xml:space="preserve"> at 1020 cm</w:t>
      </w:r>
      <w:r w:rsidRPr="00BB4B6E">
        <w:rPr>
          <w:vertAlign w:val="superscript"/>
        </w:rPr>
        <w:t>-1</w:t>
      </w:r>
      <w:r w:rsidRPr="00BB4B6E">
        <w:t>, while the band at 3440 cm</w:t>
      </w:r>
      <w:r w:rsidRPr="00BB4B6E">
        <w:rPr>
          <w:vertAlign w:val="superscript"/>
        </w:rPr>
        <w:t>-1</w:t>
      </w:r>
      <w:r w:rsidRPr="00BB4B6E">
        <w:t xml:space="preserve"> corresponded to OH</w:t>
      </w:r>
      <w:r w:rsidRPr="00BB4B6E">
        <w:rPr>
          <w:vertAlign w:val="superscript"/>
        </w:rPr>
        <w:t>-</w:t>
      </w:r>
      <w:r w:rsidRPr="00BB4B6E">
        <w:t>. However there were other peaks that corresponded to symmetrical P-O stretching mode at 910-970 cm</w:t>
      </w:r>
      <w:r w:rsidRPr="00BB4B6E">
        <w:rPr>
          <w:vertAlign w:val="superscript"/>
        </w:rPr>
        <w:t>-1</w:t>
      </w:r>
      <w:r w:rsidRPr="00BB4B6E">
        <w:t xml:space="preserve"> and asymmetrical P-O stretching mode at 1020-1069 cm</w:t>
      </w:r>
      <w:r w:rsidRPr="00BB4B6E">
        <w:rPr>
          <w:vertAlign w:val="superscript"/>
        </w:rPr>
        <w:t>-1</w:t>
      </w:r>
      <w:r w:rsidRPr="00BB4B6E">
        <w:t xml:space="preserve">. </w:t>
      </w:r>
    </w:p>
    <w:p w:rsidR="00F934C1" w:rsidRPr="00BB4B6E" w:rsidRDefault="00F934C1" w:rsidP="00F934C1">
      <w:pPr>
        <w:rPr>
          <w:color w:val="0E101A"/>
        </w:rPr>
      </w:pPr>
    </w:p>
    <w:p w:rsidR="00F934C1" w:rsidRPr="00B8137E" w:rsidRDefault="00F934C1" w:rsidP="00F934C1">
      <w:pPr>
        <w:pStyle w:val="Heading3"/>
      </w:pPr>
      <w:bookmarkStart w:id="84" w:name="_Toc144820019"/>
      <w:r w:rsidRPr="00B8137E">
        <w:lastRenderedPageBreak/>
        <w:t>2.8</w:t>
      </w:r>
      <w:r>
        <w:t>.2</w:t>
      </w:r>
      <w:r w:rsidRPr="00B8137E">
        <w:t>.2 Scanning Electron Microscopy</w:t>
      </w:r>
      <w:bookmarkEnd w:id="84"/>
    </w:p>
    <w:p w:rsidR="00F934C1" w:rsidRPr="00BB4B6E" w:rsidRDefault="00F934C1" w:rsidP="00F934C1">
      <w:pPr>
        <w:rPr>
          <w:color w:val="0E101A"/>
        </w:rPr>
      </w:pPr>
      <w:r w:rsidRPr="00BB4B6E">
        <w:rPr>
          <w:color w:val="0E101A"/>
        </w:rPr>
        <w:t xml:space="preserve">The </w:t>
      </w:r>
      <w:r w:rsidRPr="00BB4B6E">
        <w:rPr>
          <w:bCs/>
          <w:color w:val="263830"/>
        </w:rPr>
        <w:t>s</w:t>
      </w:r>
      <w:r w:rsidRPr="00BB4B6E">
        <w:rPr>
          <w:bCs/>
          <w:color w:val="0B1C13"/>
        </w:rPr>
        <w:t>ca</w:t>
      </w:r>
      <w:r w:rsidRPr="00BB4B6E">
        <w:rPr>
          <w:bCs/>
          <w:color w:val="000700"/>
        </w:rPr>
        <w:t>nni</w:t>
      </w:r>
      <w:r w:rsidRPr="00BB4B6E">
        <w:rPr>
          <w:bCs/>
          <w:color w:val="0B1C13"/>
        </w:rPr>
        <w:t>ng e</w:t>
      </w:r>
      <w:r w:rsidRPr="00BB4B6E">
        <w:rPr>
          <w:bCs/>
          <w:color w:val="000700"/>
        </w:rPr>
        <w:t>l</w:t>
      </w:r>
      <w:r w:rsidRPr="00BB4B6E">
        <w:rPr>
          <w:bCs/>
          <w:color w:val="0B1C13"/>
        </w:rPr>
        <w:t>ect</w:t>
      </w:r>
      <w:r w:rsidRPr="00BB4B6E">
        <w:rPr>
          <w:bCs/>
          <w:color w:val="000700"/>
        </w:rPr>
        <w:t>r</w:t>
      </w:r>
      <w:r w:rsidRPr="00BB4B6E">
        <w:rPr>
          <w:bCs/>
          <w:color w:val="0B1C13"/>
        </w:rPr>
        <w:t>on micro</w:t>
      </w:r>
      <w:r w:rsidRPr="00BB4B6E">
        <w:rPr>
          <w:bCs/>
          <w:color w:val="263830"/>
        </w:rPr>
        <w:t>s</w:t>
      </w:r>
      <w:r w:rsidRPr="00BB4B6E">
        <w:rPr>
          <w:bCs/>
          <w:color w:val="0B1C13"/>
        </w:rPr>
        <w:t>cop</w:t>
      </w:r>
      <w:r w:rsidRPr="00BB4B6E">
        <w:rPr>
          <w:bCs/>
          <w:color w:val="263830"/>
        </w:rPr>
        <w:t xml:space="preserve">y </w:t>
      </w:r>
      <w:r w:rsidRPr="00BB4B6E">
        <w:rPr>
          <w:bCs/>
          <w:color w:val="0B1C13"/>
        </w:rPr>
        <w:t>(SEM)</w:t>
      </w:r>
      <w:r w:rsidRPr="00BB4B6E">
        <w:rPr>
          <w:color w:val="0E101A"/>
        </w:rPr>
        <w:t xml:space="preserve"> equipment gives the nanoparticle image which is highly magnified that looks like a real visual image by naked eyes (Yong </w:t>
      </w:r>
      <w:r w:rsidRPr="00BB4B6E">
        <w:rPr>
          <w:i/>
          <w:iCs/>
          <w:color w:val="0E101A"/>
        </w:rPr>
        <w:t xml:space="preserve">et al., </w:t>
      </w:r>
      <w:r w:rsidRPr="00BB4B6E">
        <w:rPr>
          <w:color w:val="0E101A"/>
        </w:rPr>
        <w:t xml:space="preserve">2019). The SEM image is obtained by scanning sample surface with a raster of electron beams which interacts with the analyte atoms to produce signals with its characteristic information on composition and surface morphology (Konate </w:t>
      </w:r>
      <w:r w:rsidRPr="00BB4B6E">
        <w:rPr>
          <w:i/>
          <w:iCs/>
          <w:color w:val="0E101A"/>
        </w:rPr>
        <w:t>et al.,</w:t>
      </w:r>
      <w:r w:rsidRPr="00BB4B6E">
        <w:rPr>
          <w:color w:val="0E101A"/>
        </w:rPr>
        <w:t xml:space="preserve"> 2014</w:t>
      </w:r>
      <w:r w:rsidRPr="00BB4B6E">
        <w:rPr>
          <w:iCs/>
          <w:color w:val="0E101A"/>
        </w:rPr>
        <w:t>).</w:t>
      </w:r>
    </w:p>
    <w:p w:rsidR="00F934C1" w:rsidRPr="00BB4B6E" w:rsidRDefault="00F934C1" w:rsidP="00F934C1">
      <w:pPr>
        <w:rPr>
          <w:color w:val="0E101A"/>
        </w:rPr>
      </w:pPr>
    </w:p>
    <w:p w:rsidR="00F934C1" w:rsidRPr="00BB4B6E" w:rsidRDefault="00F934C1" w:rsidP="00F934C1">
      <w:pPr>
        <w:rPr>
          <w:color w:val="0E101A"/>
        </w:rPr>
      </w:pPr>
      <w:r w:rsidRPr="00BB4B6E">
        <w:rPr>
          <w:color w:val="0E101A"/>
        </w:rPr>
        <w:t xml:space="preserve">Garcia </w:t>
      </w:r>
      <w:r w:rsidRPr="00BB4B6E">
        <w:rPr>
          <w:i/>
          <w:color w:val="0E101A"/>
        </w:rPr>
        <w:t>et al</w:t>
      </w:r>
      <w:r w:rsidRPr="00BB4B6E">
        <w:rPr>
          <w:color w:val="0E101A"/>
        </w:rPr>
        <w:t>. (2015) identified that the nanoparticle surface porosity and</w:t>
      </w:r>
      <w:r>
        <w:rPr>
          <w:color w:val="0E101A"/>
        </w:rPr>
        <w:t xml:space="preserve"> morphology as a primary factor</w:t>
      </w:r>
      <w:r w:rsidRPr="00BB4B6E">
        <w:rPr>
          <w:color w:val="0E101A"/>
        </w:rPr>
        <w:t xml:space="preserve"> for nanoparticle interfaces and their effects on their adsorption capacity. Similarly, many studies have used SEM to obtain the surface morphology and structure of the nanoparticles (Yong </w:t>
      </w:r>
      <w:r w:rsidRPr="00BB4B6E">
        <w:rPr>
          <w:i/>
          <w:iCs/>
          <w:color w:val="0E101A"/>
        </w:rPr>
        <w:t xml:space="preserve">et al., </w:t>
      </w:r>
      <w:r w:rsidRPr="00BB4B6E">
        <w:rPr>
          <w:color w:val="0E101A"/>
        </w:rPr>
        <w:t xml:space="preserve">2019). However, poor images are obtained for nanofertilizers encapsulated or coated with conducting material, like platinum and carbon, due to their slow electron conductivity on these materials (Yong </w:t>
      </w:r>
      <w:r w:rsidRPr="00BB4B6E">
        <w:rPr>
          <w:i/>
          <w:iCs/>
          <w:color w:val="0E101A"/>
        </w:rPr>
        <w:t>et al</w:t>
      </w:r>
      <w:r w:rsidRPr="00BB4B6E">
        <w:rPr>
          <w:color w:val="0E101A"/>
        </w:rPr>
        <w:t xml:space="preserve">., 2019; Beyer </w:t>
      </w:r>
      <w:r w:rsidRPr="00BB4B6E">
        <w:rPr>
          <w:rStyle w:val="Emphasis"/>
          <w:rFonts w:eastAsiaTheme="majorEastAsia"/>
          <w:color w:val="0E101A"/>
        </w:rPr>
        <w:t>et al</w:t>
      </w:r>
      <w:r w:rsidRPr="00BB4B6E">
        <w:rPr>
          <w:color w:val="0E101A"/>
        </w:rPr>
        <w:t xml:space="preserve">., 2012). Beyer </w:t>
      </w:r>
      <w:r w:rsidRPr="00BB4B6E">
        <w:rPr>
          <w:rStyle w:val="Emphasis"/>
          <w:rFonts w:eastAsiaTheme="majorEastAsia"/>
          <w:color w:val="0E101A"/>
        </w:rPr>
        <w:t>et al</w:t>
      </w:r>
      <w:r w:rsidRPr="00BB4B6E">
        <w:rPr>
          <w:color w:val="0E101A"/>
        </w:rPr>
        <w:t>. (2012) noted that structure of nHA nanoparticles can be examined using SEM. They used it to confirm synthetic nHA particles to have size of 34.3 nm while the morphology on nHA particles was observed to be sphere-like.</w:t>
      </w:r>
    </w:p>
    <w:p w:rsidR="00F934C1" w:rsidRPr="00BB4B6E" w:rsidRDefault="00F934C1" w:rsidP="00F934C1">
      <w:pPr>
        <w:rPr>
          <w:rFonts w:eastAsiaTheme="majorEastAsia"/>
          <w:b/>
          <w:color w:val="000000" w:themeColor="text1"/>
          <w:szCs w:val="20"/>
        </w:rPr>
      </w:pPr>
      <w:bookmarkStart w:id="85" w:name="_Toc88642378"/>
    </w:p>
    <w:p w:rsidR="00F934C1" w:rsidRPr="00B8137E" w:rsidRDefault="00F934C1" w:rsidP="00F934C1">
      <w:pPr>
        <w:pStyle w:val="Heading3"/>
      </w:pPr>
      <w:bookmarkStart w:id="86" w:name="_Toc144820020"/>
      <w:r w:rsidRPr="00B8137E">
        <w:t>2.8.2.3 X-Ray Diffraction</w:t>
      </w:r>
      <w:bookmarkEnd w:id="85"/>
      <w:bookmarkEnd w:id="86"/>
    </w:p>
    <w:p w:rsidR="00F934C1" w:rsidRPr="00BB4B6E" w:rsidRDefault="00F934C1" w:rsidP="00F934C1">
      <w:pPr>
        <w:rPr>
          <w:color w:val="000000"/>
        </w:rPr>
      </w:pPr>
      <w:r w:rsidRPr="00BB4B6E">
        <w:rPr>
          <w:color w:val="000000" w:themeColor="text1"/>
          <w:szCs w:val="20"/>
        </w:rPr>
        <w:t xml:space="preserve">To establish the crystallite size and chemical structure for nanofertilizers </w:t>
      </w:r>
      <w:r w:rsidRPr="00BB4B6E">
        <w:rPr>
          <w:szCs w:val="23"/>
        </w:rPr>
        <w:t>X-ray diffraction (XRD) peaks</w:t>
      </w:r>
      <w:r w:rsidRPr="00BB4B6E">
        <w:rPr>
          <w:color w:val="000000" w:themeColor="text1"/>
          <w:szCs w:val="20"/>
        </w:rPr>
        <w:t xml:space="preserve"> were employed </w:t>
      </w:r>
      <w:r w:rsidR="00C226E6" w:rsidRPr="00BB4B6E">
        <w:rPr>
          <w:szCs w:val="23"/>
        </w:rPr>
        <w:fldChar w:fldCharType="begin" w:fldLock="1"/>
      </w:r>
      <w:r w:rsidRPr="00BB4B6E">
        <w:rPr>
          <w:szCs w:val="23"/>
        </w:rPr>
        <w:instrText>ADDIN CSL_CITATION {"citationItems":[{"id":"ITEM-1","itemData":{"ISSN":"1040-8347","author":[{"dropping-particle":"","family":"Bunaciu","given":"Andrei A","non-dropping-particle":"","parse-names":false,"suffix":""},{"dropping-particle":"","family":"UdriŞTioiu","given":"Elena Gabriela","non-dropping-particle":"","parse-names":false,"suffix":""},{"dropping-particle":"","family":"Aboul-Enein","given":"Hassan Y","non-dropping-particle":"","parse-names":false,"suffix":""}],"container-title":"Critical reviews in analytical chemistry","id":"ITEM-1","issue":"4","issued":{"date-parts":[["2015"]]},"page":"289-299","publisher":"Taylor &amp; Francis","title":"X-ray diffraction: instrumentation and applications","type":"article-journal","volume":"45"},"uris":["http://www.mendeley.com/documents/?uuid=c3a26d3e-3823-4c94-b2e1-1236b4122051"]}],"mendeley":{"formattedCitation":"(Bunaciu, UdriŞTioiu, &amp; Aboul-Enein, 2015)","manualFormatting":"(Bunaciu et al. 2015","plainTextFormattedCitation":"(Bunaciu, UdriŞTioiu, &amp; Aboul-Enein, 2015)","previouslyFormattedCitation":"(Bunaciu, UdriŞTioiu, &amp; Aboul-Enein, 2015)"},"properties":{"noteIndex":0},"schema":"https://github.com/citation-style-language/schema/raw/master/csl-citation.json"}</w:instrText>
      </w:r>
      <w:r w:rsidR="00C226E6" w:rsidRPr="00BB4B6E">
        <w:rPr>
          <w:szCs w:val="23"/>
        </w:rPr>
        <w:fldChar w:fldCharType="separate"/>
      </w:r>
      <w:r w:rsidRPr="00BB4B6E">
        <w:rPr>
          <w:noProof/>
          <w:szCs w:val="23"/>
        </w:rPr>
        <w:t>(</w:t>
      </w:r>
      <w:r w:rsidRPr="00BB4B6E">
        <w:rPr>
          <w:noProof/>
          <w:color w:val="000000" w:themeColor="text1"/>
        </w:rPr>
        <w:t xml:space="preserve">Ansari </w:t>
      </w:r>
      <w:r w:rsidRPr="00BB4B6E">
        <w:rPr>
          <w:i/>
          <w:noProof/>
          <w:szCs w:val="23"/>
        </w:rPr>
        <w:t>et al.,</w:t>
      </w:r>
      <w:r w:rsidRPr="00BB4B6E">
        <w:rPr>
          <w:noProof/>
          <w:szCs w:val="23"/>
        </w:rPr>
        <w:t>2011</w:t>
      </w:r>
      <w:r w:rsidR="00C226E6" w:rsidRPr="00BB4B6E">
        <w:rPr>
          <w:szCs w:val="23"/>
        </w:rPr>
        <w:fldChar w:fldCharType="end"/>
      </w:r>
      <w:r w:rsidRPr="00BB4B6E">
        <w:rPr>
          <w:szCs w:val="23"/>
        </w:rPr>
        <w:t xml:space="preserve">). The obtained peaks were compared with those of </w:t>
      </w:r>
      <w:r w:rsidRPr="00BB4B6E">
        <w:rPr>
          <w:color w:val="000000"/>
        </w:rPr>
        <w:t xml:space="preserve">the standard </w:t>
      </w:r>
      <w:r w:rsidRPr="00BB4B6E">
        <w:t>Joint Committee on Powder Diffraction (</w:t>
      </w:r>
      <w:r w:rsidRPr="00BB4B6E">
        <w:rPr>
          <w:color w:val="000000"/>
        </w:rPr>
        <w:t>JCPDS) data of the diffraction pattern of hydroxyapatites</w:t>
      </w:r>
      <w:r>
        <w:rPr>
          <w:color w:val="000000"/>
        </w:rPr>
        <w:t xml:space="preserve"> </w:t>
      </w:r>
      <w:r w:rsidRPr="00BB4B6E">
        <w:rPr>
          <w:color w:val="000000"/>
        </w:rPr>
        <w:t>(</w:t>
      </w:r>
      <w:r w:rsidRPr="00BB4B6E">
        <w:rPr>
          <w:color w:val="0E101A"/>
        </w:rPr>
        <w:t xml:space="preserve">Beyer </w:t>
      </w:r>
      <w:r w:rsidRPr="00BB4B6E">
        <w:rPr>
          <w:rStyle w:val="Emphasis"/>
          <w:rFonts w:eastAsiaTheme="majorEastAsia"/>
          <w:color w:val="0E101A"/>
        </w:rPr>
        <w:t>et al</w:t>
      </w:r>
      <w:r>
        <w:rPr>
          <w:color w:val="0E101A"/>
        </w:rPr>
        <w:t xml:space="preserve">., </w:t>
      </w:r>
      <w:r w:rsidRPr="00BB4B6E">
        <w:rPr>
          <w:color w:val="0E101A"/>
        </w:rPr>
        <w:t>2012)</w:t>
      </w:r>
      <w:r w:rsidRPr="00BB4B6E">
        <w:rPr>
          <w:color w:val="000000"/>
        </w:rPr>
        <w:t xml:space="preserve">. </w:t>
      </w:r>
      <w:r w:rsidRPr="00BB4B6E">
        <w:rPr>
          <w:color w:val="000000"/>
        </w:rPr>
        <w:lastRenderedPageBreak/>
        <w:t>Nanofertilizer samples were prepared by pulverization before being packed onto the cavity-type</w:t>
      </w:r>
      <w:r>
        <w:rPr>
          <w:color w:val="000000"/>
        </w:rPr>
        <w:t xml:space="preserve"> sample holder as indicated in S</w:t>
      </w:r>
      <w:r w:rsidRPr="00BB4B6E">
        <w:rPr>
          <w:color w:val="000000"/>
        </w:rPr>
        <w:t>ection 3.5.</w:t>
      </w:r>
    </w:p>
    <w:p w:rsidR="00F934C1" w:rsidRPr="00BB4B6E" w:rsidRDefault="00F934C1" w:rsidP="00F934C1">
      <w:pPr>
        <w:rPr>
          <w:rFonts w:eastAsiaTheme="majorEastAsia"/>
          <w:color w:val="000000" w:themeColor="text1"/>
          <w:szCs w:val="20"/>
        </w:rPr>
      </w:pPr>
    </w:p>
    <w:p w:rsidR="00F934C1" w:rsidRDefault="00F934C1" w:rsidP="00F934C1">
      <w:pPr>
        <w:rPr>
          <w:color w:val="000000"/>
          <w:szCs w:val="20"/>
          <w:lang w:bidi="he-IL"/>
        </w:rPr>
      </w:pPr>
      <w:r w:rsidRPr="00BB4B6E">
        <w:t xml:space="preserve">The XRD operation principle is based on monochromatic X-rays interaction with that of a sample. Bombardment of the sample by the X-rays (incident) generates a detectable diffracted X-ray. The sample diffracts the X-rays in a scattering angle (Lateef </w:t>
      </w:r>
      <w:r w:rsidRPr="00BB4B6E">
        <w:rPr>
          <w:i/>
        </w:rPr>
        <w:t>et al</w:t>
      </w:r>
      <w:r w:rsidRPr="00BB4B6E">
        <w:t xml:space="preserve">., 2016). This angle is usually specific to the sample’s crystallite atomic structure. This X-ray is processed and finally converted to count rates so long as Braggs’s Law is converted to Scherrer equation (Equation 2.7) </w:t>
      </w:r>
      <w:r w:rsidRPr="00BB4B6E">
        <w:rPr>
          <w:color w:val="000000"/>
          <w:szCs w:val="20"/>
          <w:lang w:bidi="he-IL"/>
        </w:rPr>
        <w:t>used in calculation of crystallite size (D)</w:t>
      </w:r>
    </w:p>
    <w:p w:rsidR="00F934C1" w:rsidRPr="00BB4B6E" w:rsidRDefault="00F934C1" w:rsidP="00F934C1">
      <w:pPr>
        <w:rPr>
          <w:color w:val="000000"/>
          <w:szCs w:val="20"/>
          <w:lang w:bidi="he-IL"/>
        </w:rPr>
      </w:pPr>
    </w:p>
    <w:tbl>
      <w:tblPr>
        <w:tblpPr w:leftFromText="180" w:rightFromText="180" w:vertAnchor="text" w:horzAnchor="margin" w:tblpXSpec="right" w:tblpY="113"/>
        <w:tblW w:w="0" w:type="auto"/>
        <w:tblCellMar>
          <w:left w:w="10" w:type="dxa"/>
          <w:right w:w="10" w:type="dxa"/>
        </w:tblCellMar>
        <w:tblLook w:val="04A0" w:firstRow="1" w:lastRow="0" w:firstColumn="1" w:lastColumn="0" w:noHBand="0" w:noVBand="1"/>
      </w:tblPr>
      <w:tblGrid>
        <w:gridCol w:w="3174"/>
      </w:tblGrid>
      <w:tr w:rsidR="00F934C1" w:rsidRPr="00BB4B6E" w:rsidTr="00F934C1">
        <w:trPr>
          <w:trHeight w:val="259"/>
        </w:trPr>
        <w:tc>
          <w:tcPr>
            <w:tcW w:w="3174" w:type="dxa"/>
          </w:tcPr>
          <w:p w:rsidR="00F934C1" w:rsidRPr="00BB4B6E" w:rsidRDefault="00F934C1" w:rsidP="00F934C1">
            <w:r w:rsidRPr="00BB4B6E">
              <w:t xml:space="preserve">                   Equation 2.7</w:t>
            </w:r>
          </w:p>
        </w:tc>
      </w:tr>
    </w:tbl>
    <w:p w:rsidR="00F934C1" w:rsidRPr="00BB4B6E" w:rsidRDefault="00F934C1" w:rsidP="00F934C1">
      <w:pPr>
        <w:rPr>
          <w:color w:val="000000"/>
          <w:szCs w:val="20"/>
          <w:lang w:bidi="he-IL"/>
        </w:rPr>
      </w:pPr>
      <m:oMathPara>
        <m:oMath>
          <m:r>
            <w:rPr>
              <w:rFonts w:ascii="Cambria Math" w:eastAsiaTheme="minorHAnsi" w:hAnsi="Cambria Math"/>
              <w:color w:val="000000"/>
              <w:szCs w:val="20"/>
              <w:lang w:bidi="he-IL"/>
            </w:rPr>
            <m:t>D=</m:t>
          </m:r>
          <m:f>
            <m:fPr>
              <m:ctrlPr>
                <w:rPr>
                  <w:rFonts w:ascii="Cambria Math" w:eastAsiaTheme="minorHAnsi" w:hAnsi="Cambria Math"/>
                  <w:i/>
                  <w:color w:val="000000"/>
                  <w:szCs w:val="20"/>
                  <w:lang w:bidi="he-IL"/>
                </w:rPr>
              </m:ctrlPr>
            </m:fPr>
            <m:num>
              <m:r>
                <w:rPr>
                  <w:rFonts w:ascii="Cambria Math" w:eastAsiaTheme="minorHAnsi" w:hAnsi="Cambria Math"/>
                  <w:color w:val="000000"/>
                  <w:szCs w:val="20"/>
                  <w:lang w:bidi="he-IL"/>
                </w:rPr>
                <m:t>Kλ</m:t>
              </m:r>
            </m:num>
            <m:den>
              <m:r>
                <w:rPr>
                  <w:rFonts w:ascii="Cambria Math" w:eastAsiaTheme="minorHAnsi" w:hAnsi="Cambria Math"/>
                  <w:color w:val="000000"/>
                  <w:szCs w:val="20"/>
                  <w:lang w:bidi="he-IL"/>
                </w:rPr>
                <m:t>βCos2ϴ</m:t>
              </m:r>
            </m:den>
          </m:f>
        </m:oMath>
      </m:oMathPara>
    </w:p>
    <w:p w:rsidR="00F934C1" w:rsidRDefault="00F934C1" w:rsidP="00F934C1">
      <w:pPr>
        <w:rPr>
          <w:color w:val="000000"/>
          <w:lang w:eastAsia="en-GB"/>
        </w:rPr>
      </w:pPr>
    </w:p>
    <w:p w:rsidR="00F934C1" w:rsidRPr="00BB4B6E" w:rsidRDefault="00F934C1" w:rsidP="00F934C1">
      <w:pPr>
        <w:rPr>
          <w:color w:val="000000"/>
          <w:lang w:eastAsia="en-GB"/>
        </w:rPr>
      </w:pPr>
      <w:r w:rsidRPr="00BB4B6E">
        <w:rPr>
          <w:color w:val="000000"/>
          <w:lang w:eastAsia="en-GB"/>
        </w:rPr>
        <w:t>Where:</w:t>
      </w:r>
      <m:oMath>
        <m:r>
          <w:rPr>
            <w:rFonts w:ascii="Cambria Math" w:hAnsi="Cambria Math"/>
            <w:color w:val="000000"/>
            <w:lang w:eastAsia="en-GB"/>
          </w:rPr>
          <m:t xml:space="preserve"> </m:t>
        </m:r>
        <m:r>
          <w:rPr>
            <w:rFonts w:ascii="Cambria Math" w:eastAsiaTheme="minorHAnsi" w:hAnsi="Cambria Math"/>
            <w:color w:val="000000"/>
            <w:szCs w:val="20"/>
            <w:lang w:bidi="he-IL"/>
          </w:rPr>
          <m:t>D</m:t>
        </m:r>
      </m:oMath>
      <w:r w:rsidRPr="00BB4B6E">
        <w:rPr>
          <w:color w:val="000000"/>
          <w:spacing w:val="16"/>
          <w:sz w:val="25"/>
          <w:szCs w:val="25"/>
          <w:lang w:eastAsia="en-GB"/>
        </w:rPr>
        <w:t xml:space="preserve">= </w:t>
      </w:r>
      <w:r>
        <w:rPr>
          <w:color w:val="000000"/>
          <w:lang w:eastAsia="en-GB"/>
        </w:rPr>
        <w:t>is the crystallite size (nm)</w:t>
      </w:r>
    </w:p>
    <w:p w:rsidR="00F934C1" w:rsidRPr="00BB4B6E" w:rsidRDefault="00F934C1" w:rsidP="00F934C1">
      <w:pPr>
        <w:ind w:left="720"/>
        <w:rPr>
          <w:color w:val="000000"/>
          <w:spacing w:val="-2"/>
          <w:lang w:eastAsia="en-GB"/>
        </w:rPr>
      </w:pPr>
      <w:r w:rsidRPr="00BB4B6E">
        <w:rPr>
          <w:i/>
          <w:iCs/>
          <w:color w:val="000000"/>
          <w:lang w:eastAsia="en-GB"/>
        </w:rPr>
        <w:t>K =</w:t>
      </w:r>
      <w:r w:rsidR="00B22ED8">
        <w:rPr>
          <w:i/>
          <w:iCs/>
          <w:color w:val="000000"/>
          <w:lang w:eastAsia="en-GB"/>
        </w:rPr>
        <w:t xml:space="preserve"> </w:t>
      </w:r>
      <w:r w:rsidRPr="00BB4B6E">
        <w:rPr>
          <w:color w:val="000000"/>
          <w:lang w:eastAsia="en-GB"/>
        </w:rPr>
        <w:t xml:space="preserve">is the </w:t>
      </w:r>
      <w:r w:rsidRPr="00BB4B6E">
        <w:rPr>
          <w:color w:val="000000"/>
          <w:spacing w:val="-2"/>
          <w:lang w:eastAsia="en-GB"/>
        </w:rPr>
        <w:t>Scherrer constant, 0.94 for sphe</w:t>
      </w:r>
      <w:r>
        <w:rPr>
          <w:color w:val="000000"/>
          <w:spacing w:val="-2"/>
          <w:lang w:eastAsia="en-GB"/>
        </w:rPr>
        <w:t>rical crystallographic symmetry</w:t>
      </w:r>
    </w:p>
    <w:p w:rsidR="00F934C1" w:rsidRPr="00BB4B6E" w:rsidRDefault="00F934C1" w:rsidP="00F934C1">
      <w:pPr>
        <w:ind w:left="720"/>
        <w:rPr>
          <w:color w:val="000000"/>
          <w:lang w:eastAsia="en-GB"/>
        </w:rPr>
      </w:pPr>
      <w:r w:rsidRPr="00BB4B6E">
        <w:rPr>
          <w:color w:val="000000"/>
          <w:lang w:eastAsia="en-GB"/>
        </w:rPr>
        <w:t>Λ = X-ray wavelength Cu K</w:t>
      </w:r>
      <w:r w:rsidRPr="00BB4B6E">
        <w:rPr>
          <w:color w:val="000000"/>
          <w:vertAlign w:val="subscript"/>
          <w:lang w:eastAsia="en-GB"/>
        </w:rPr>
        <w:t>ꭤ</w:t>
      </w:r>
      <w:r>
        <w:rPr>
          <w:color w:val="000000"/>
          <w:lang w:eastAsia="en-GB"/>
        </w:rPr>
        <w:t xml:space="preserve"> =1.5406 Å</w:t>
      </w:r>
    </w:p>
    <w:p w:rsidR="00F934C1" w:rsidRPr="00BB4B6E" w:rsidRDefault="00F934C1" w:rsidP="00F934C1">
      <w:pPr>
        <w:ind w:left="720"/>
        <w:rPr>
          <w:color w:val="000000"/>
          <w:spacing w:val="2"/>
          <w:lang w:eastAsia="en-GB"/>
        </w:rPr>
      </w:pPr>
      <m:oMath>
        <m:r>
          <w:rPr>
            <w:rFonts w:ascii="Cambria Math" w:eastAsiaTheme="minorHAnsi" w:hAnsi="Cambria Math"/>
            <w:color w:val="000000"/>
            <w:szCs w:val="20"/>
            <w:lang w:bidi="he-IL"/>
          </w:rPr>
          <m:t>β</m:t>
        </m:r>
      </m:oMath>
      <w:r w:rsidRPr="00BB4B6E">
        <w:rPr>
          <w:color w:val="000000"/>
          <w:sz w:val="25"/>
          <w:szCs w:val="25"/>
          <w:lang w:eastAsia="en-GB"/>
        </w:rPr>
        <w:t xml:space="preserve"> =</w:t>
      </w:r>
      <w:r w:rsidR="00B22ED8">
        <w:rPr>
          <w:color w:val="000000"/>
          <w:sz w:val="25"/>
          <w:szCs w:val="25"/>
          <w:lang w:eastAsia="en-GB"/>
        </w:rPr>
        <w:t xml:space="preserve"> </w:t>
      </w:r>
      <w:r w:rsidRPr="00BB4B6E">
        <w:rPr>
          <w:color w:val="000000"/>
          <w:lang w:eastAsia="en-GB"/>
        </w:rPr>
        <w:t xml:space="preserve">is line broadening at FWH </w:t>
      </w:r>
    </w:p>
    <w:p w:rsidR="00F934C1" w:rsidRPr="00BB4B6E" w:rsidRDefault="00F934C1" w:rsidP="00F934C1">
      <w:pPr>
        <w:ind w:left="720"/>
        <w:rPr>
          <w:color w:val="000000"/>
          <w:szCs w:val="20"/>
          <w:lang w:bidi="he-IL"/>
        </w:rPr>
      </w:pPr>
      <m:oMath>
        <m:r>
          <w:rPr>
            <w:rFonts w:ascii="Cambria Math" w:eastAsiaTheme="minorHAnsi" w:hAnsi="Cambria Math"/>
            <w:color w:val="000000"/>
            <w:szCs w:val="20"/>
            <w:lang w:bidi="he-IL"/>
          </w:rPr>
          <m:t>ϴ</m:t>
        </m:r>
      </m:oMath>
      <w:r w:rsidRPr="00BB4B6E">
        <w:rPr>
          <w:color w:val="000000"/>
          <w:lang w:eastAsia="en-GB"/>
        </w:rPr>
        <w:t>= is Bragg’s angle in degree, half of 2</w:t>
      </w:r>
      <m:oMath>
        <m:r>
          <w:rPr>
            <w:rFonts w:ascii="Cambria Math" w:eastAsiaTheme="minorHAnsi" w:hAnsi="Cambria Math"/>
            <w:color w:val="000000"/>
            <w:szCs w:val="20"/>
            <w:lang w:bidi="he-IL"/>
          </w:rPr>
          <m:t>ϴ</m:t>
        </m:r>
      </m:oMath>
    </w:p>
    <w:p w:rsidR="00F934C1" w:rsidRPr="00BB4B6E" w:rsidRDefault="00F934C1" w:rsidP="00F934C1">
      <w:pPr>
        <w:autoSpaceDE/>
        <w:autoSpaceDN/>
        <w:adjustRightInd/>
        <w:spacing w:after="200" w:line="276" w:lineRule="auto"/>
        <w:jc w:val="left"/>
        <w:rPr>
          <w:rFonts w:eastAsiaTheme="majorEastAsia"/>
          <w:b/>
          <w:bCs/>
          <w:sz w:val="28"/>
          <w:szCs w:val="28"/>
        </w:rPr>
      </w:pPr>
      <w:r w:rsidRPr="00BB4B6E">
        <w:br w:type="page"/>
      </w:r>
    </w:p>
    <w:p w:rsidR="00F934C1" w:rsidRPr="00C323D5" w:rsidRDefault="00F934C1" w:rsidP="00F934C1">
      <w:pPr>
        <w:pStyle w:val="Heading1"/>
      </w:pPr>
      <w:bookmarkStart w:id="87" w:name="_Toc144820021"/>
      <w:r w:rsidRPr="00C323D5">
        <w:lastRenderedPageBreak/>
        <w:t xml:space="preserve">CHAPTER </w:t>
      </w:r>
      <w:r w:rsidRPr="00C323D5">
        <w:rPr>
          <w:rFonts w:eastAsiaTheme="minorEastAsia"/>
        </w:rPr>
        <w:t>THREE</w:t>
      </w:r>
      <w:bookmarkEnd w:id="87"/>
    </w:p>
    <w:p w:rsidR="00F934C1" w:rsidRPr="00BB4B6E" w:rsidRDefault="00F934C1" w:rsidP="00F934C1">
      <w:pPr>
        <w:pStyle w:val="Heading1"/>
      </w:pPr>
      <w:bookmarkStart w:id="88" w:name="_Toc144820022"/>
      <w:r w:rsidRPr="00C323D5">
        <w:rPr>
          <w:rFonts w:eastAsiaTheme="minorEastAsia"/>
        </w:rPr>
        <w:t>METHODOLOGY</w:t>
      </w:r>
      <w:bookmarkEnd w:id="88"/>
    </w:p>
    <w:p w:rsidR="00F934C1" w:rsidRPr="00B8137E" w:rsidRDefault="00F934C1" w:rsidP="00F934C1">
      <w:pPr>
        <w:pStyle w:val="Heading2"/>
      </w:pPr>
      <w:bookmarkStart w:id="89" w:name="_Toc144820023"/>
      <w:r w:rsidRPr="00B8137E">
        <w:t>3.1 Research Design</w:t>
      </w:r>
      <w:bookmarkEnd w:id="89"/>
    </w:p>
    <w:p w:rsidR="00F934C1" w:rsidRPr="00BB4B6E" w:rsidRDefault="00F934C1" w:rsidP="00F934C1">
      <w:pPr>
        <w:rPr>
          <w:color w:val="0E101A"/>
        </w:rPr>
      </w:pPr>
      <w:r w:rsidRPr="00BB4B6E">
        <w:rPr>
          <w:color w:val="0E101A"/>
        </w:rPr>
        <w:t xml:space="preserve">A randomized complete block design was used in this study, where kales, spinach and beans were grown in two separate experimental set-ups. In one set-up, synthetic nHA was encapsulated with two commercial fertilizers NPK, DAP on one hand and in another, bone nHA with the NPK, DAP commercial fertilizers. The experiments were performed in pots under a greenhouse environment at Nyakoe, Kisii County. Growth performance parameters of the plants were measured between 30-90 days. Characterization of synthetic and bone nano-fertilizers was done </w:t>
      </w:r>
      <w:r w:rsidRPr="00BB4B6E">
        <w:rPr>
          <w:rFonts w:eastAsiaTheme="minorEastAsia"/>
        </w:rPr>
        <w:t xml:space="preserve">using XRD, SEM and FTIR. </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Heading2"/>
        <w:rPr>
          <w:rFonts w:eastAsiaTheme="minorEastAsia"/>
        </w:rPr>
      </w:pPr>
      <w:bookmarkStart w:id="90" w:name="_Toc144820024"/>
      <w:r w:rsidRPr="00BB4B6E">
        <w:rPr>
          <w:rFonts w:eastAsiaTheme="minorEastAsia"/>
        </w:rPr>
        <w:t xml:space="preserve">3.2 Reagents </w:t>
      </w:r>
      <w:r w:rsidRPr="00B8137E">
        <w:t>and</w:t>
      </w:r>
      <w:r w:rsidRPr="00BB4B6E">
        <w:rPr>
          <w:rFonts w:eastAsiaTheme="minorEastAsia"/>
        </w:rPr>
        <w:t xml:space="preserve"> Chemicals</w:t>
      </w:r>
      <w:bookmarkEnd w:id="90"/>
    </w:p>
    <w:p w:rsidR="00F934C1" w:rsidRPr="00BB4B6E" w:rsidRDefault="00F934C1" w:rsidP="00F934C1">
      <w:pPr>
        <w:pStyle w:val="NormalWeb"/>
        <w:spacing w:before="0" w:beforeAutospacing="0" w:after="0" w:afterAutospacing="0" w:line="480" w:lineRule="auto"/>
        <w:rPr>
          <w:color w:val="0E101A"/>
        </w:rPr>
      </w:pPr>
      <w:r w:rsidRPr="00BB4B6E">
        <w:rPr>
          <w:color w:val="0E101A"/>
        </w:rPr>
        <w:t>Double de-ionized distilled water was obtained by a Milli-Q water distiller installed at Kenyatta University, which was used in preparation of all aqueous solutions. All used chemicals and reagents were of analytical grade. Phosphoric acid (H</w:t>
      </w:r>
      <w:r w:rsidRPr="00BB4B6E">
        <w:rPr>
          <w:color w:val="0E101A"/>
          <w:vertAlign w:val="subscript"/>
        </w:rPr>
        <w:t>3</w:t>
      </w:r>
      <w:r w:rsidRPr="00BB4B6E">
        <w:rPr>
          <w:color w:val="0E101A"/>
        </w:rPr>
        <w:t>PO</w:t>
      </w:r>
      <w:r w:rsidRPr="00BB4B6E">
        <w:rPr>
          <w:color w:val="0E101A"/>
          <w:vertAlign w:val="subscript"/>
        </w:rPr>
        <w:t>4</w:t>
      </w:r>
      <w:r w:rsidRPr="00BB4B6E">
        <w:rPr>
          <w:color w:val="0E101A"/>
        </w:rPr>
        <w:t>), calcium hydroxide (Ca(OH)</w:t>
      </w:r>
      <w:r w:rsidRPr="00BB4B6E">
        <w:rPr>
          <w:color w:val="0E101A"/>
          <w:vertAlign w:val="subscript"/>
        </w:rPr>
        <w:t>2</w:t>
      </w:r>
      <w:r w:rsidRPr="00BB4B6E">
        <w:rPr>
          <w:color w:val="0E101A"/>
        </w:rPr>
        <w:t>), cadmium nitrate (Cd(NO</w:t>
      </w:r>
      <w:r w:rsidRPr="00BB4B6E">
        <w:rPr>
          <w:color w:val="0E101A"/>
          <w:vertAlign w:val="subscript"/>
        </w:rPr>
        <w:t>3</w:t>
      </w:r>
      <w:r w:rsidRPr="00BB4B6E">
        <w:rPr>
          <w:color w:val="0E101A"/>
        </w:rPr>
        <w:t>)</w:t>
      </w:r>
      <w:r w:rsidRPr="00BB4B6E">
        <w:rPr>
          <w:color w:val="0E101A"/>
          <w:vertAlign w:val="subscript"/>
        </w:rPr>
        <w:t>2</w:t>
      </w:r>
      <w:r w:rsidRPr="00BB4B6E">
        <w:rPr>
          <w:color w:val="0E101A"/>
        </w:rPr>
        <w:t>), lead (II) nitrate (Pb(NO</w:t>
      </w:r>
      <w:r w:rsidRPr="00BB4B6E">
        <w:rPr>
          <w:color w:val="0E101A"/>
          <w:vertAlign w:val="subscript"/>
        </w:rPr>
        <w:t>3</w:t>
      </w:r>
      <w:r w:rsidRPr="00BB4B6E">
        <w:rPr>
          <w:color w:val="0E101A"/>
        </w:rPr>
        <w:t>)</w:t>
      </w:r>
      <w:r w:rsidRPr="00BB4B6E">
        <w:rPr>
          <w:color w:val="0E101A"/>
          <w:vertAlign w:val="subscript"/>
        </w:rPr>
        <w:t>2</w:t>
      </w:r>
      <w:r w:rsidRPr="00BB4B6E">
        <w:rPr>
          <w:color w:val="0E101A"/>
        </w:rPr>
        <w:t>), nitric (V) acid (HNO</w:t>
      </w:r>
      <w:r w:rsidRPr="00BB4B6E">
        <w:rPr>
          <w:color w:val="0E101A"/>
          <w:vertAlign w:val="subscript"/>
        </w:rPr>
        <w:t>3</w:t>
      </w:r>
      <w:r w:rsidRPr="00BB4B6E">
        <w:rPr>
          <w:color w:val="0E101A"/>
        </w:rPr>
        <w:t>), standards of Cd(NO</w:t>
      </w:r>
      <w:r w:rsidRPr="00BB4B6E">
        <w:rPr>
          <w:color w:val="0E101A"/>
          <w:vertAlign w:val="subscript"/>
        </w:rPr>
        <w:t>3</w:t>
      </w:r>
      <w:r w:rsidRPr="00BB4B6E">
        <w:rPr>
          <w:color w:val="0E101A"/>
        </w:rPr>
        <w:t>)</w:t>
      </w:r>
      <w:r w:rsidRPr="00BB4B6E">
        <w:rPr>
          <w:color w:val="0E101A"/>
          <w:vertAlign w:val="subscript"/>
        </w:rPr>
        <w:t>2</w:t>
      </w:r>
      <w:r w:rsidRPr="00BB4B6E">
        <w:rPr>
          <w:color w:val="0E101A"/>
        </w:rPr>
        <w:t xml:space="preserve"> and Pb(NO</w:t>
      </w:r>
      <w:r w:rsidRPr="00BB4B6E">
        <w:rPr>
          <w:color w:val="0E101A"/>
          <w:vertAlign w:val="subscript"/>
        </w:rPr>
        <w:t>3</w:t>
      </w:r>
      <w:r w:rsidRPr="00BB4B6E">
        <w:rPr>
          <w:color w:val="0E101A"/>
        </w:rPr>
        <w:t>)</w:t>
      </w:r>
      <w:r w:rsidRPr="00BB4B6E">
        <w:rPr>
          <w:color w:val="0E101A"/>
          <w:vertAlign w:val="subscript"/>
        </w:rPr>
        <w:t xml:space="preserve">2 </w:t>
      </w:r>
      <w:r w:rsidRPr="00BB4B6E">
        <w:rPr>
          <w:color w:val="0E101A"/>
        </w:rPr>
        <w:t>were used as obtained from Sigma-Aldrich Company limited, Germany. The Di-ammonium phosphate (DAP), NPK commercial fertilizers were used as supplied by YARA Fertilizer Company limited, Kenya.</w:t>
      </w:r>
    </w:p>
    <w:p w:rsidR="00F934C1" w:rsidRPr="00BB4B6E" w:rsidRDefault="00F934C1" w:rsidP="00F934C1">
      <w:pPr>
        <w:rPr>
          <w:color w:val="0E101A"/>
        </w:rPr>
      </w:pPr>
    </w:p>
    <w:p w:rsidR="00F934C1" w:rsidRPr="00BB4B6E" w:rsidRDefault="00F934C1" w:rsidP="00F934C1">
      <w:pPr>
        <w:pStyle w:val="Heading2"/>
      </w:pPr>
      <w:bookmarkStart w:id="91" w:name="_Toc144820025"/>
      <w:r w:rsidRPr="00BB4B6E">
        <w:lastRenderedPageBreak/>
        <w:t xml:space="preserve">3.3 Method </w:t>
      </w:r>
      <w:r w:rsidRPr="00B8137E">
        <w:t>Validation</w:t>
      </w:r>
      <w:bookmarkEnd w:id="91"/>
    </w:p>
    <w:p w:rsidR="00F934C1" w:rsidRPr="00BB4B6E" w:rsidRDefault="00F934C1" w:rsidP="006D47C4">
      <w:pPr>
        <w:pStyle w:val="Heading4"/>
        <w:spacing w:before="0" w:line="480" w:lineRule="auto"/>
        <w:rPr>
          <w:rFonts w:cs="Times New Roman"/>
          <w:b w:val="0"/>
          <w:i/>
        </w:rPr>
      </w:pPr>
      <w:bookmarkStart w:id="92" w:name="_Toc143872472"/>
      <w:bookmarkStart w:id="93" w:name="_Toc144222331"/>
      <w:r w:rsidRPr="00BB4B6E">
        <w:rPr>
          <w:rFonts w:cs="Times New Roman"/>
          <w:b w:val="0"/>
        </w:rPr>
        <w:t>The accuracy of AAS was investigated by spiking samples with a 1, 5, 10, 20, 50 ppm of Cd and Pb standards. Triplicate measurement of Cd and Pb levels was performed in each case. To validate the method used recovery tests, metal detection limits (3d), regression equation and correlation determination (R</w:t>
      </w:r>
      <w:r w:rsidRPr="00BB4B6E">
        <w:rPr>
          <w:rFonts w:cs="Times New Roman"/>
          <w:b w:val="0"/>
          <w:vertAlign w:val="superscript"/>
        </w:rPr>
        <w:t>2</w:t>
      </w:r>
      <w:r w:rsidRPr="00BB4B6E">
        <w:rPr>
          <w:rFonts w:cs="Times New Roman"/>
          <w:b w:val="0"/>
        </w:rPr>
        <w:t>) of Cd and Pb in plants leaves samples were measured and results presented in Table 4.1.</w:t>
      </w:r>
      <w:bookmarkEnd w:id="92"/>
      <w:bookmarkEnd w:id="93"/>
    </w:p>
    <w:p w:rsidR="00F934C1" w:rsidRPr="00BB4B6E" w:rsidRDefault="00F934C1" w:rsidP="00F934C1"/>
    <w:p w:rsidR="00F934C1" w:rsidRPr="00BB4B6E" w:rsidRDefault="00F934C1" w:rsidP="00F934C1">
      <w:pPr>
        <w:pStyle w:val="Heading3"/>
        <w:rPr>
          <w:i/>
        </w:rPr>
      </w:pPr>
      <w:bookmarkStart w:id="94" w:name="_Toc144820026"/>
      <w:r w:rsidRPr="00BB4B6E">
        <w:t xml:space="preserve">3.3.1 </w:t>
      </w:r>
      <w:r w:rsidRPr="00B8137E">
        <w:t>Recovery</w:t>
      </w:r>
      <w:r w:rsidRPr="00BB4B6E">
        <w:t xml:space="preserve"> Tests</w:t>
      </w:r>
      <w:bookmarkEnd w:id="94"/>
    </w:p>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The efficiency and reliability of the AAS method was checked by the recovery tests. The 0.5 g of bean leaf powder was spiked with </w:t>
      </w:r>
      <w:r w:rsidRPr="00BB4B6E">
        <w:rPr>
          <w:color w:val="000000" w:themeColor="text1"/>
        </w:rPr>
        <w:t xml:space="preserve">1, 5, 10, 20, 50 ppm </w:t>
      </w:r>
      <w:r w:rsidRPr="00BB4B6E">
        <w:rPr>
          <w:color w:val="0E101A"/>
        </w:rPr>
        <w:t>of the cadmium standard solution in triplicates. Similar procedure was repeated with bean leaves using lead standard solutions and then with kale leaves for recovery tests.</w:t>
      </w:r>
    </w:p>
    <w:p w:rsidR="00F934C1" w:rsidRPr="00BB4B6E" w:rsidRDefault="00F934C1" w:rsidP="00F934C1">
      <w:pPr>
        <w:pStyle w:val="NormalWeb"/>
        <w:spacing w:before="0" w:beforeAutospacing="0" w:after="0" w:afterAutospacing="0" w:line="480" w:lineRule="auto"/>
        <w:rPr>
          <w:b/>
          <w:bCs/>
        </w:rPr>
      </w:pPr>
    </w:p>
    <w:p w:rsidR="00F934C1" w:rsidRPr="00BB4B6E" w:rsidRDefault="00F934C1" w:rsidP="00F934C1">
      <w:pPr>
        <w:pStyle w:val="Heading3"/>
        <w:rPr>
          <w:rFonts w:cs="Times New Roman"/>
          <w:i/>
          <w:color w:val="auto"/>
        </w:rPr>
      </w:pPr>
      <w:bookmarkStart w:id="95" w:name="_Toc144820027"/>
      <w:r w:rsidRPr="00BB4B6E">
        <w:rPr>
          <w:rFonts w:cs="Times New Roman"/>
          <w:color w:val="auto"/>
        </w:rPr>
        <w:t xml:space="preserve">3.3.2 </w:t>
      </w:r>
      <w:r w:rsidRPr="00B8137E">
        <w:t>Limit</w:t>
      </w:r>
      <w:r w:rsidRPr="00BB4B6E">
        <w:t xml:space="preserve"> of Detection</w:t>
      </w:r>
      <w:r w:rsidRPr="00BB4B6E">
        <w:rPr>
          <w:rFonts w:cs="Times New Roman"/>
          <w:color w:val="auto"/>
        </w:rPr>
        <w:t xml:space="preserve"> of AAS</w:t>
      </w:r>
      <w:bookmarkEnd w:id="95"/>
    </w:p>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The AAS limit of detection (LOD) was determined as described by Sezgin </w:t>
      </w:r>
      <w:r w:rsidRPr="00BB4B6E">
        <w:rPr>
          <w:rStyle w:val="Emphasis"/>
          <w:rFonts w:eastAsiaTheme="majorEastAsia"/>
          <w:color w:val="0E101A"/>
        </w:rPr>
        <w:t>et al.</w:t>
      </w:r>
      <w:r w:rsidRPr="00BB4B6E">
        <w:rPr>
          <w:color w:val="0E101A"/>
        </w:rPr>
        <w:t xml:space="preserve"> (2019). The AAS measurements for three blank samples were done in replicate and then their standard deviations were calculated. The pooled standard deviations of the blank samples were multiplied by three to obtain the limit of detection.</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Heading2"/>
        <w:rPr>
          <w:rFonts w:eastAsiaTheme="minorEastAsia"/>
        </w:rPr>
      </w:pPr>
      <w:bookmarkStart w:id="96" w:name="_Toc144820028"/>
      <w:r w:rsidRPr="00BB4B6E">
        <w:rPr>
          <w:rFonts w:eastAsiaTheme="minorEastAsia"/>
        </w:rPr>
        <w:t xml:space="preserve">3.4 Synthesis of </w:t>
      </w:r>
      <w:r w:rsidRPr="00B8137E">
        <w:t>Hydroxyapatite</w:t>
      </w:r>
      <w:r w:rsidRPr="00BB4B6E">
        <w:rPr>
          <w:rFonts w:eastAsiaTheme="minorEastAsia"/>
        </w:rPr>
        <w:t xml:space="preserve"> Nano-fertilizers</w:t>
      </w:r>
      <w:bookmarkEnd w:id="96"/>
    </w:p>
    <w:p w:rsidR="00F934C1" w:rsidRPr="00BB4B6E" w:rsidRDefault="00F934C1" w:rsidP="00F934C1">
      <w:pPr>
        <w:pStyle w:val="Heading3"/>
        <w:rPr>
          <w:rFonts w:eastAsiaTheme="minorEastAsia"/>
        </w:rPr>
      </w:pPr>
      <w:bookmarkStart w:id="97" w:name="_Toc144820029"/>
      <w:r w:rsidRPr="00BB4B6E">
        <w:rPr>
          <w:rFonts w:eastAsiaTheme="minorEastAsia"/>
        </w:rPr>
        <w:t>3.4.1 Synthesis of Synthetic nHA Nano-fertilizers</w:t>
      </w:r>
      <w:bookmarkEnd w:id="97"/>
    </w:p>
    <w:p w:rsidR="00F934C1" w:rsidRPr="00BB4B6E" w:rsidRDefault="00F934C1" w:rsidP="00F934C1">
      <w:pPr>
        <w:rPr>
          <w:rFonts w:eastAsiaTheme="minorEastAsia"/>
        </w:rPr>
      </w:pPr>
      <w:r w:rsidRPr="00BB4B6E">
        <w:rPr>
          <w:rFonts w:eastAsiaTheme="minorEastAsia"/>
        </w:rPr>
        <w:t xml:space="preserve">The synthetic nHA nanoparticles were prepared by chemical precipitation as described by Ansari </w:t>
      </w:r>
      <w:r w:rsidRPr="00BB4B6E">
        <w:rPr>
          <w:rFonts w:eastAsiaTheme="minorEastAsia"/>
          <w:i/>
        </w:rPr>
        <w:t>et al</w:t>
      </w:r>
      <w:r w:rsidRPr="00BB4B6E">
        <w:rPr>
          <w:rFonts w:eastAsiaTheme="minorEastAsia"/>
        </w:rPr>
        <w:t>. (2011). A 100 cm</w:t>
      </w:r>
      <w:r w:rsidRPr="00BB4B6E">
        <w:rPr>
          <w:rFonts w:eastAsiaTheme="minorEastAsia"/>
          <w:vertAlign w:val="superscript"/>
        </w:rPr>
        <w:t>3</w:t>
      </w:r>
      <w:r w:rsidRPr="00BB4B6E">
        <w:rPr>
          <w:rFonts w:eastAsiaTheme="minorEastAsia"/>
        </w:rPr>
        <w:t xml:space="preserve"> solution of 0.67 M phosphoric acid </w:t>
      </w:r>
      <w:r w:rsidRPr="00BB4B6E">
        <w:rPr>
          <w:rFonts w:eastAsiaTheme="minorEastAsia"/>
        </w:rPr>
        <w:lastRenderedPageBreak/>
        <w:t xml:space="preserve">was </w:t>
      </w:r>
      <w:r>
        <w:rPr>
          <w:rFonts w:eastAsiaTheme="minorEastAsia"/>
        </w:rPr>
        <w:t>added dropwise</w:t>
      </w:r>
      <w:r w:rsidRPr="00BB4B6E">
        <w:rPr>
          <w:rFonts w:eastAsiaTheme="minorEastAsia"/>
        </w:rPr>
        <w:t xml:space="preserve"> at a rate of one drop per 10 seconds to a suspension of 100 cm</w:t>
      </w:r>
      <w:r w:rsidRPr="00BB4B6E">
        <w:rPr>
          <w:rFonts w:eastAsiaTheme="minorEastAsia"/>
          <w:vertAlign w:val="superscript"/>
        </w:rPr>
        <w:t>3</w:t>
      </w:r>
      <w:r w:rsidRPr="00BB4B6E">
        <w:rPr>
          <w:rFonts w:eastAsiaTheme="minorEastAsia"/>
        </w:rPr>
        <w:t xml:space="preserve"> of 2 M calcium hydroxide in 250 cm</w:t>
      </w:r>
      <w:r w:rsidRPr="00BB4B6E">
        <w:rPr>
          <w:rFonts w:eastAsiaTheme="minorEastAsia"/>
          <w:vertAlign w:val="superscript"/>
        </w:rPr>
        <w:t>3</w:t>
      </w:r>
      <w:r w:rsidRPr="00BB4B6E">
        <w:rPr>
          <w:rFonts w:eastAsiaTheme="minorEastAsia"/>
        </w:rPr>
        <w:t xml:space="preserve"> conical flask while mechanically agitating at 1000 rpm for 24 hours. The resultant synthetic nHA nanoparticles were washed three times with triple distilled water to remove any impurities. These synthetic nHA nanoparticles were put in an oven set at a temperature of 110 </w:t>
      </w:r>
      <w:r w:rsidRPr="00BB4B6E">
        <w:rPr>
          <w:rFonts w:eastAsiaTheme="minorEastAsia"/>
          <w:vertAlign w:val="superscript"/>
        </w:rPr>
        <w:t>0</w:t>
      </w:r>
      <w:r w:rsidRPr="00BB4B6E">
        <w:rPr>
          <w:rFonts w:eastAsiaTheme="minorEastAsia"/>
        </w:rPr>
        <w:t xml:space="preserve">C for 2 hours, before being kept at 0 </w:t>
      </w:r>
      <w:r w:rsidRPr="00BB4B6E">
        <w:rPr>
          <w:rFonts w:eastAsiaTheme="minorEastAsia"/>
          <w:vertAlign w:val="superscript"/>
        </w:rPr>
        <w:t>o</w:t>
      </w:r>
      <w:r w:rsidRPr="00BB4B6E">
        <w:rPr>
          <w:rFonts w:eastAsiaTheme="minorEastAsia"/>
        </w:rPr>
        <w:t>C in a freezer awaiting characterization using SEM, XRD and FTIR.</w:t>
      </w:r>
    </w:p>
    <w:p w:rsidR="00F934C1" w:rsidRPr="00BB4B6E" w:rsidRDefault="00F934C1" w:rsidP="00F934C1">
      <w:pPr>
        <w:rPr>
          <w:rFonts w:eastAsiaTheme="minorEastAsia"/>
        </w:rPr>
      </w:pPr>
    </w:p>
    <w:p w:rsidR="00F934C1" w:rsidRPr="00BB4B6E" w:rsidRDefault="00F934C1" w:rsidP="00F934C1">
      <w:pPr>
        <w:rPr>
          <w:rFonts w:eastAsiaTheme="minorEastAsia"/>
        </w:rPr>
      </w:pPr>
      <w:r w:rsidRPr="00BB4B6E">
        <w:rPr>
          <w:rFonts w:eastAsiaTheme="minorEastAsia"/>
        </w:rPr>
        <w:t>The synthetic nHA nanoparticles were mixed with a saturated solution of commercial DAP set for ultrasonic mixing of 30 kHz for 1 hour. The nHA nanoparticles</w:t>
      </w:r>
      <w:r>
        <w:rPr>
          <w:rFonts w:eastAsiaTheme="minorEastAsia"/>
        </w:rPr>
        <w:t xml:space="preserve"> </w:t>
      </w:r>
      <w:r w:rsidRPr="00BB4B6E">
        <w:rPr>
          <w:rFonts w:eastAsiaTheme="minorEastAsia"/>
        </w:rPr>
        <w:t xml:space="preserve">were washed with triple distilled water to eliminate DAP fertilizer that was loosely held. Then the resultant nanoparticles were put in oven set at 50 </w:t>
      </w:r>
      <w:r w:rsidRPr="00BB4B6E">
        <w:rPr>
          <w:rFonts w:eastAsiaTheme="minorEastAsia"/>
          <w:vertAlign w:val="superscript"/>
        </w:rPr>
        <w:t>0</w:t>
      </w:r>
      <w:r w:rsidRPr="00BB4B6E">
        <w:rPr>
          <w:rFonts w:eastAsiaTheme="minorEastAsia"/>
        </w:rPr>
        <w:t>C temperature for 6 hours to dry synthetic DAP nano-fertilizers.</w:t>
      </w:r>
    </w:p>
    <w:p w:rsidR="00F934C1" w:rsidRPr="00BB4B6E" w:rsidRDefault="00F934C1" w:rsidP="00F934C1">
      <w:pPr>
        <w:rPr>
          <w:rFonts w:eastAsiaTheme="minorEastAsia"/>
        </w:rPr>
      </w:pPr>
    </w:p>
    <w:p w:rsidR="00F934C1" w:rsidRPr="00BB4B6E" w:rsidRDefault="00F934C1" w:rsidP="00F934C1">
      <w:pPr>
        <w:rPr>
          <w:rFonts w:eastAsiaTheme="minorEastAsia"/>
        </w:rPr>
      </w:pPr>
      <w:r w:rsidRPr="00BB4B6E">
        <w:rPr>
          <w:rFonts w:eastAsiaTheme="minorEastAsia"/>
        </w:rPr>
        <w:t>The procedure of encapsulation of nHA nanoparticles was repeated wi</w:t>
      </w:r>
      <w:r w:rsidR="00AC5649">
        <w:rPr>
          <w:rFonts w:eastAsiaTheme="minorEastAsia"/>
        </w:rPr>
        <w:t>th dilute commercial fertilizer</w:t>
      </w:r>
      <w:r w:rsidRPr="00BB4B6E">
        <w:rPr>
          <w:rFonts w:eastAsiaTheme="minorEastAsia"/>
        </w:rPr>
        <w:t xml:space="preserve"> solutions of NPK, DAP-NPK to for</w:t>
      </w:r>
      <w:r w:rsidR="00AC5649">
        <w:rPr>
          <w:rFonts w:eastAsiaTheme="minorEastAsia"/>
        </w:rPr>
        <w:t>m synthetic NPK nano-fertilizer</w:t>
      </w:r>
      <w:r w:rsidRPr="00BB4B6E">
        <w:rPr>
          <w:rFonts w:eastAsiaTheme="minorEastAsia"/>
        </w:rPr>
        <w:t xml:space="preserve"> and sy</w:t>
      </w:r>
      <w:r w:rsidR="00AC5649">
        <w:rPr>
          <w:rFonts w:eastAsiaTheme="minorEastAsia"/>
        </w:rPr>
        <w:t>nthetic NPK-DAP nano-fertilizer</w:t>
      </w:r>
      <w:r w:rsidRPr="00BB4B6E">
        <w:rPr>
          <w:rFonts w:eastAsiaTheme="minorEastAsia"/>
        </w:rPr>
        <w:t>.</w:t>
      </w:r>
    </w:p>
    <w:p w:rsidR="00F934C1" w:rsidRPr="00BB4B6E" w:rsidRDefault="00F934C1" w:rsidP="00F934C1">
      <w:pPr>
        <w:rPr>
          <w:rFonts w:eastAsiaTheme="minorEastAsia"/>
        </w:rPr>
      </w:pPr>
    </w:p>
    <w:p w:rsidR="00F934C1" w:rsidRPr="00BB4B6E" w:rsidRDefault="00F934C1" w:rsidP="00F934C1">
      <w:pPr>
        <w:pStyle w:val="Heading3"/>
        <w:rPr>
          <w:rFonts w:eastAsiaTheme="minorEastAsia"/>
        </w:rPr>
      </w:pPr>
      <w:bookmarkStart w:id="98" w:name="_Toc144820030"/>
      <w:r w:rsidRPr="00BB4B6E">
        <w:rPr>
          <w:rFonts w:eastAsiaTheme="minorEastAsia"/>
        </w:rPr>
        <w:t xml:space="preserve">3.4.2 </w:t>
      </w:r>
      <w:r w:rsidRPr="00B8137E">
        <w:t>Synthesis</w:t>
      </w:r>
      <w:r w:rsidRPr="00BB4B6E">
        <w:rPr>
          <w:rFonts w:eastAsiaTheme="minorEastAsia"/>
        </w:rPr>
        <w:t xml:space="preserve"> of Bone nHA Nano-fertilizers</w:t>
      </w:r>
      <w:bookmarkEnd w:id="98"/>
    </w:p>
    <w:p w:rsidR="00F934C1" w:rsidRPr="00BB4B6E" w:rsidRDefault="00F934C1" w:rsidP="00F934C1">
      <w:pPr>
        <w:rPr>
          <w:rFonts w:eastAsiaTheme="minorEastAsia"/>
        </w:rPr>
      </w:pPr>
      <w:r w:rsidRPr="00BB4B6E">
        <w:rPr>
          <w:rFonts w:eastAsiaTheme="minorEastAsia"/>
        </w:rPr>
        <w:t>Bone nHA na</w:t>
      </w:r>
      <w:r>
        <w:rPr>
          <w:rFonts w:eastAsiaTheme="minorEastAsia"/>
        </w:rPr>
        <w:t>noparticles were prepared by using</w:t>
      </w:r>
      <w:r w:rsidRPr="00BB4B6E">
        <w:rPr>
          <w:rFonts w:eastAsiaTheme="minorEastAsia"/>
        </w:rPr>
        <w:t xml:space="preserve"> 30 kg cow bones </w:t>
      </w:r>
      <w:r>
        <w:rPr>
          <w:rFonts w:eastAsiaTheme="minorEastAsia"/>
        </w:rPr>
        <w:t>which were</w:t>
      </w:r>
      <w:r w:rsidRPr="00BB4B6E">
        <w:rPr>
          <w:rFonts w:eastAsiaTheme="minorEastAsia"/>
        </w:rPr>
        <w:t xml:space="preserve"> cleaned, washed, dried and then ground into small pieces. Then bones were incin</w:t>
      </w:r>
      <w:r>
        <w:rPr>
          <w:rFonts w:eastAsiaTheme="minorEastAsia"/>
        </w:rPr>
        <w:t>erated in the muffle furnace</w:t>
      </w:r>
      <w:r w:rsidRPr="00BB4B6E">
        <w:rPr>
          <w:rFonts w:eastAsiaTheme="minorEastAsia"/>
        </w:rPr>
        <w:t xml:space="preserve"> at temperature of 600 </w:t>
      </w:r>
      <w:r w:rsidRPr="00BB4B6E">
        <w:rPr>
          <w:rFonts w:eastAsiaTheme="minorEastAsia"/>
          <w:vertAlign w:val="superscript"/>
        </w:rPr>
        <w:t>0</w:t>
      </w:r>
      <w:r w:rsidRPr="00BB4B6E">
        <w:rPr>
          <w:rFonts w:eastAsiaTheme="minorEastAsia"/>
        </w:rPr>
        <w:t xml:space="preserve">C for 24 hours. The resultant bone ash was further ground into very fine powder using mortar and pestle. This bone powder was then mixed with distilled water at 50 % (w/w) to form a suspension of bone ash. This suspension was then milled further by vibrator for 24 </w:t>
      </w:r>
      <w:r w:rsidRPr="00BB4B6E">
        <w:rPr>
          <w:rFonts w:eastAsiaTheme="minorEastAsia"/>
        </w:rPr>
        <w:lastRenderedPageBreak/>
        <w:t xml:space="preserve">hours before filtering it to get bone cakes. The filtered bone cakes were put in oven set at 80 </w:t>
      </w:r>
      <w:r w:rsidRPr="00BB4B6E">
        <w:rPr>
          <w:rFonts w:eastAsiaTheme="minorEastAsia"/>
          <w:vertAlign w:val="superscript"/>
        </w:rPr>
        <w:t>0</w:t>
      </w:r>
      <w:r w:rsidRPr="00BB4B6E">
        <w:rPr>
          <w:rFonts w:eastAsiaTheme="minorEastAsia"/>
        </w:rPr>
        <w:t>C temperature for 3 hours, before they were ground to nano sized bone nHA nanoparticles using mortar and pestle. The 10 kg obtained bone nHA nanoparticles were encapsulated with commercial DAP, NPK t</w:t>
      </w:r>
      <w:r w:rsidR="00AC5649">
        <w:rPr>
          <w:rFonts w:eastAsiaTheme="minorEastAsia"/>
        </w:rPr>
        <w:t>o make bone DAP nano-fertilizer, bone NPK nano-fertilizer</w:t>
      </w:r>
      <w:r w:rsidRPr="00BB4B6E">
        <w:rPr>
          <w:rFonts w:eastAsiaTheme="minorEastAsia"/>
        </w:rPr>
        <w:t xml:space="preserve"> and bone NPK-DAP na</w:t>
      </w:r>
      <w:r w:rsidR="00AC5649">
        <w:rPr>
          <w:rFonts w:eastAsiaTheme="minorEastAsia"/>
        </w:rPr>
        <w:t>no-fertilizer</w:t>
      </w:r>
      <w:r>
        <w:rPr>
          <w:rFonts w:eastAsiaTheme="minorEastAsia"/>
        </w:rPr>
        <w:t xml:space="preserve"> as described in S</w:t>
      </w:r>
      <w:r w:rsidRPr="00BB4B6E">
        <w:rPr>
          <w:rFonts w:eastAsiaTheme="minorEastAsia"/>
        </w:rPr>
        <w:t>ection 3.4.1.</w:t>
      </w:r>
    </w:p>
    <w:p w:rsidR="00F934C1" w:rsidRPr="00BB4B6E" w:rsidRDefault="00F934C1" w:rsidP="00F934C1">
      <w:pPr>
        <w:pStyle w:val="Heading2"/>
        <w:spacing w:before="0"/>
        <w:rPr>
          <w:rFonts w:eastAsiaTheme="minorEastAsia" w:cs="Times New Roman"/>
          <w:b w:val="0"/>
          <w:bCs w:val="0"/>
          <w:color w:val="auto"/>
          <w:szCs w:val="24"/>
        </w:rPr>
      </w:pPr>
    </w:p>
    <w:p w:rsidR="00F934C1" w:rsidRPr="00BB4B6E" w:rsidRDefault="00F934C1" w:rsidP="00F934C1">
      <w:pPr>
        <w:pStyle w:val="Heading2"/>
      </w:pPr>
      <w:bookmarkStart w:id="99" w:name="_Toc114763391"/>
      <w:bookmarkStart w:id="100" w:name="_Toc144820031"/>
      <w:r w:rsidRPr="00BB4B6E">
        <w:t xml:space="preserve">3.5 </w:t>
      </w:r>
      <w:r w:rsidRPr="00B8137E">
        <w:t>Nanoparticle</w:t>
      </w:r>
      <w:r w:rsidRPr="00BB4B6E">
        <w:t xml:space="preserve"> Characterization</w:t>
      </w:r>
      <w:bookmarkEnd w:id="99"/>
      <w:bookmarkEnd w:id="100"/>
    </w:p>
    <w:p w:rsidR="00F934C1" w:rsidRPr="00BB4B6E" w:rsidRDefault="00F934C1" w:rsidP="00F934C1">
      <w:r w:rsidRPr="00BB4B6E">
        <w:t xml:space="preserve">Nano-fertilizers were characterized according to description given by Beyer </w:t>
      </w:r>
      <w:r w:rsidRPr="00BB4B6E">
        <w:rPr>
          <w:i/>
        </w:rPr>
        <w:t>et al</w:t>
      </w:r>
      <w:r w:rsidRPr="00BB4B6E">
        <w:t>. (2012). The major functional groups present in the bone and synthetic nHA nano-fertilizers and their combinations were characterized by obtained spectra of FTIR (SHIMADZU FTIR 8400S Kyoto, Japan) spectrophotometer. Sample preparation of bone nHA was achieved by measuring determined amount of the nanofertilizer</w:t>
      </w:r>
      <w:r>
        <w:t>s and homogeneously mixed with p</w:t>
      </w:r>
      <w:r w:rsidRPr="00BB4B6E">
        <w:t>otassium bromide in a ratio of 1:50 for 5 minutes. Sample pellets were made using hand press and there after placed onto the sample holder for subsequent FTIR analysis. The spectra were obtained within the range of 250-4500 cm</w:t>
      </w:r>
      <w:r w:rsidRPr="00BB4B6E">
        <w:rPr>
          <w:vertAlign w:val="superscript"/>
        </w:rPr>
        <w:t xml:space="preserve">-1 </w:t>
      </w:r>
      <w:r w:rsidRPr="00BB4B6E">
        <w:t>for both bone and synthetic nHA nano-fertilizers and their combinations. FTIR functional group intensities were used to identify the encapsulated functional groups</w:t>
      </w:r>
      <w:r>
        <w:t>.</w:t>
      </w:r>
    </w:p>
    <w:p w:rsidR="00F934C1" w:rsidRPr="00BB4B6E" w:rsidRDefault="00F934C1" w:rsidP="00F934C1"/>
    <w:p w:rsidR="00F934C1" w:rsidRPr="00BB4B6E" w:rsidRDefault="00F934C1" w:rsidP="00F934C1">
      <w:pPr>
        <w:rPr>
          <w:color w:val="000000"/>
        </w:rPr>
      </w:pPr>
      <w:r w:rsidRPr="00BB4B6E">
        <w:t>Scanning Electron Microscope (</w:t>
      </w:r>
      <w:r w:rsidRPr="00BB4B6E">
        <w:rPr>
          <w:color w:val="0E101A"/>
        </w:rPr>
        <w:t>Zeiss Gemini SEM 500 at Indian Institute of science and Technology</w:t>
      </w:r>
      <w:r w:rsidRPr="00BB4B6E">
        <w:t xml:space="preserve">) was used to determine the surface morphology and particulate size of the nano-fertilizers as elaborated by Beyer </w:t>
      </w:r>
      <w:r w:rsidRPr="00BB4B6E">
        <w:rPr>
          <w:i/>
        </w:rPr>
        <w:t>et al</w:t>
      </w:r>
      <w:r w:rsidRPr="00BB4B6E">
        <w:t xml:space="preserve">. (2012). Powdered nano-fertilizer samples were compressed on double sided carbon tape mounted on aluminum stubs; </w:t>
      </w:r>
      <w:r w:rsidRPr="00BB4B6E">
        <w:lastRenderedPageBreak/>
        <w:t>in SEM equipment and measurements done at an accelerating voltage of 10-20 kV. The XRD equipment was also used to determine the crystallite size using a RIGAKU X-ray diffractometer (</w:t>
      </w:r>
      <w:r w:rsidRPr="00BB4B6E">
        <w:rPr>
          <w:color w:val="0E101A"/>
        </w:rPr>
        <w:t>Indian Institute of science and Technology)</w:t>
      </w:r>
      <w:r w:rsidRPr="00BB4B6E">
        <w:t xml:space="preserve">. For solid samples they are ground to fine powder using mortar and pestle. Powdered sample </w:t>
      </w:r>
      <w:r>
        <w:t>wa</w:t>
      </w:r>
      <w:r w:rsidRPr="00BB4B6E">
        <w:t xml:space="preserve">s compressed and </w:t>
      </w:r>
      <w:r w:rsidRPr="00BB4B6E">
        <w:rPr>
          <w:color w:val="000000"/>
        </w:rPr>
        <w:t>packed onto the cavity-type sample holder</w:t>
      </w:r>
      <w:r>
        <w:t>. The compressed sample wa</w:t>
      </w:r>
      <w:r w:rsidRPr="00BB4B6E">
        <w:t>s carefully placed in appropriate sample compartment in XRD equipment to obtain XRD peaks.</w:t>
      </w:r>
      <w:r w:rsidRPr="00BB4B6E">
        <w:rPr>
          <w:szCs w:val="23"/>
        </w:rPr>
        <w:t xml:space="preserve"> The obtained peaks were compared with those of </w:t>
      </w:r>
      <w:r w:rsidRPr="00BB4B6E">
        <w:rPr>
          <w:color w:val="000000"/>
        </w:rPr>
        <w:t xml:space="preserve">the standard </w:t>
      </w:r>
      <w:r w:rsidRPr="00BB4B6E">
        <w:t>Joint Committee on Powder Diffraction (</w:t>
      </w:r>
      <w:r w:rsidRPr="00BB4B6E">
        <w:rPr>
          <w:color w:val="000000"/>
        </w:rPr>
        <w:t xml:space="preserve">JCPDS) data of the diffraction pattern of hydroxyapatites. </w:t>
      </w:r>
    </w:p>
    <w:p w:rsidR="00F934C1" w:rsidRPr="00BB4B6E" w:rsidRDefault="00F934C1" w:rsidP="00F934C1"/>
    <w:p w:rsidR="00F934C1" w:rsidRPr="00BB4B6E" w:rsidRDefault="00F934C1" w:rsidP="00F934C1">
      <w:pPr>
        <w:pStyle w:val="Heading2"/>
        <w:rPr>
          <w:rFonts w:eastAsiaTheme="minorEastAsia"/>
        </w:rPr>
      </w:pPr>
      <w:bookmarkStart w:id="101" w:name="_Toc144820032"/>
      <w:r w:rsidRPr="00BB4B6E">
        <w:rPr>
          <w:rFonts w:eastAsiaTheme="minorEastAsia"/>
        </w:rPr>
        <w:t xml:space="preserve">3.6 </w:t>
      </w:r>
      <w:r w:rsidRPr="00B8137E">
        <w:t>Determination</w:t>
      </w:r>
      <w:r w:rsidRPr="00BB4B6E">
        <w:rPr>
          <w:rFonts w:eastAsiaTheme="minorEastAsia"/>
        </w:rPr>
        <w:t xml:space="preserve"> of Cd and Pb Uptake in Kale, Spinach and Beans</w:t>
      </w:r>
      <w:bookmarkEnd w:id="101"/>
    </w:p>
    <w:p w:rsidR="00F934C1" w:rsidRPr="00BB4B6E" w:rsidRDefault="00F934C1" w:rsidP="00F934C1">
      <w:r w:rsidRPr="00BB4B6E">
        <w:rPr>
          <w:rFonts w:eastAsiaTheme="minorEastAsia"/>
        </w:rPr>
        <w:t>Pot greenhouse experiment was set at Nyakoe study area in Kisii County, where the sandy loamy</w:t>
      </w:r>
      <w:r w:rsidR="00AC5649">
        <w:rPr>
          <w:rFonts w:eastAsiaTheme="minorEastAsia"/>
        </w:rPr>
        <w:t xml:space="preserve"> experimental soil was obtained</w:t>
      </w:r>
      <w:r w:rsidRPr="00BB4B6E">
        <w:rPr>
          <w:rFonts w:eastAsiaTheme="minorEastAsia"/>
        </w:rPr>
        <w:t xml:space="preserve"> </w:t>
      </w:r>
      <w:r w:rsidR="00AC5649" w:rsidRPr="00BB4B6E">
        <w:rPr>
          <w:rFonts w:eastAsiaTheme="minorEastAsia"/>
        </w:rPr>
        <w:t>and oven</w:t>
      </w:r>
      <w:r w:rsidRPr="00BB4B6E">
        <w:rPr>
          <w:rFonts w:eastAsiaTheme="minorEastAsia"/>
        </w:rPr>
        <w:t xml:space="preserve"> dried to 40 </w:t>
      </w:r>
      <w:r w:rsidRPr="00BB4B6E">
        <w:rPr>
          <w:rFonts w:eastAsiaTheme="minorEastAsia"/>
          <w:vertAlign w:val="superscript"/>
        </w:rPr>
        <w:t>o</w:t>
      </w:r>
      <w:r w:rsidRPr="00BB4B6E">
        <w:rPr>
          <w:rFonts w:eastAsiaTheme="minorEastAsia"/>
        </w:rPr>
        <w:t>C for 48 hours unti</w:t>
      </w:r>
      <w:r w:rsidR="00AC5649">
        <w:rPr>
          <w:rFonts w:eastAsiaTheme="minorEastAsia"/>
        </w:rPr>
        <w:t xml:space="preserve">l constant mass was achieved. </w:t>
      </w:r>
      <w:r w:rsidR="00877974">
        <w:rPr>
          <w:rFonts w:eastAsiaTheme="minorEastAsia"/>
        </w:rPr>
        <w:t>The soil</w:t>
      </w:r>
      <w:r w:rsidR="00AC5649">
        <w:rPr>
          <w:rFonts w:eastAsiaTheme="minorEastAsia"/>
        </w:rPr>
        <w:t xml:space="preserve"> was</w:t>
      </w:r>
      <w:r w:rsidRPr="00BB4B6E">
        <w:rPr>
          <w:rFonts w:eastAsiaTheme="minorEastAsia"/>
        </w:rPr>
        <w:t xml:space="preserve"> then ground, sieved </w:t>
      </w:r>
      <w:r w:rsidR="00877974">
        <w:rPr>
          <w:rFonts w:eastAsiaTheme="minorEastAsia"/>
        </w:rPr>
        <w:t xml:space="preserve">and </w:t>
      </w:r>
      <w:r w:rsidRPr="00BB4B6E">
        <w:rPr>
          <w:rFonts w:eastAsiaTheme="minorEastAsia"/>
        </w:rPr>
        <w:t xml:space="preserve">then artificially contaminated with Cd/Pb by sprinkling with Cd/Pb contaminated water made by adding </w:t>
      </w:r>
      <w:r w:rsidRPr="00BB4B6E">
        <w:rPr>
          <w:color w:val="0E101A"/>
        </w:rPr>
        <w:t>(Cd(NO</w:t>
      </w:r>
      <w:r w:rsidRPr="00BB4B6E">
        <w:rPr>
          <w:color w:val="0E101A"/>
          <w:vertAlign w:val="subscript"/>
        </w:rPr>
        <w:t>3</w:t>
      </w:r>
      <w:r w:rsidRPr="00BB4B6E">
        <w:rPr>
          <w:color w:val="0E101A"/>
        </w:rPr>
        <w:t>)</w:t>
      </w:r>
      <w:r w:rsidRPr="00BB4B6E">
        <w:rPr>
          <w:color w:val="0E101A"/>
          <w:vertAlign w:val="subscript"/>
        </w:rPr>
        <w:t>2</w:t>
      </w:r>
      <w:r w:rsidRPr="00BB4B6E">
        <w:rPr>
          <w:color w:val="0E101A"/>
        </w:rPr>
        <w:t>) and (Pb(NO</w:t>
      </w:r>
      <w:r w:rsidRPr="00BB4B6E">
        <w:rPr>
          <w:color w:val="0E101A"/>
          <w:vertAlign w:val="subscript"/>
        </w:rPr>
        <w:t>3</w:t>
      </w:r>
      <w:r w:rsidRPr="00BB4B6E">
        <w:rPr>
          <w:color w:val="0E101A"/>
        </w:rPr>
        <w:t>)</w:t>
      </w:r>
      <w:r w:rsidRPr="00BB4B6E">
        <w:rPr>
          <w:color w:val="0E101A"/>
          <w:vertAlign w:val="subscript"/>
        </w:rPr>
        <w:t>2</w:t>
      </w:r>
      <w:r w:rsidRPr="00BB4B6E">
        <w:rPr>
          <w:color w:val="0E101A"/>
        </w:rPr>
        <w:t>) salts</w:t>
      </w:r>
      <w:r w:rsidRPr="00BB4B6E">
        <w:rPr>
          <w:rFonts w:eastAsiaTheme="minorEastAsia"/>
        </w:rPr>
        <w:t>. Contaminants in the fertilizer were not considered. The fertilizer</w:t>
      </w:r>
      <w:r>
        <w:rPr>
          <w:rFonts w:eastAsiaTheme="minorEastAsia"/>
        </w:rPr>
        <w:t>s DAP and NPK were</w:t>
      </w:r>
      <w:r w:rsidRPr="00BB4B6E">
        <w:rPr>
          <w:rFonts w:eastAsiaTheme="minorEastAsia"/>
        </w:rPr>
        <w:t xml:space="preserve"> used as supplied by YARA Fertilizer Company limited. Pot experiments were conducted with eleven treatments which were; </w:t>
      </w:r>
      <w:r w:rsidRPr="00BB4B6E">
        <w:t>bone nHA, bone DAP, bone NPK, bone DAP-NPK, syn nHA, syn DAP, syn NPK, syn DAP-NPK, DAP, NPK, DAP-NPK and control (without any treatment). To each treatment 20 g of nanofertilizer was ad</w:t>
      </w:r>
      <w:r>
        <w:t>ded</w:t>
      </w:r>
      <w:r w:rsidRPr="00BB4B6E">
        <w:t>.</w:t>
      </w:r>
      <w:r w:rsidRPr="00BB4B6E">
        <w:rPr>
          <w:rFonts w:eastAsiaTheme="minorEastAsia"/>
        </w:rPr>
        <w:t xml:space="preserve"> Then the soil was mixed homogenously to have uniform nanofertilizer distribution. </w:t>
      </w:r>
      <w:r w:rsidRPr="00BB4B6E">
        <w:t xml:space="preserve">The study crops that were used include beans </w:t>
      </w:r>
      <w:r w:rsidRPr="00BB4B6E">
        <w:rPr>
          <w:color w:val="0E101A"/>
        </w:rPr>
        <w:t>(</w:t>
      </w:r>
      <w:r w:rsidRPr="00BB4B6E">
        <w:rPr>
          <w:rStyle w:val="Emphasis"/>
          <w:rFonts w:eastAsiaTheme="majorEastAsia"/>
          <w:color w:val="0E101A"/>
        </w:rPr>
        <w:t>P. Vulgaris L</w:t>
      </w:r>
      <w:r w:rsidRPr="00BB4B6E">
        <w:rPr>
          <w:color w:val="0E101A"/>
        </w:rPr>
        <w:t>.), spinach (</w:t>
      </w:r>
      <w:r w:rsidRPr="00BB4B6E">
        <w:rPr>
          <w:rStyle w:val="Emphasis"/>
          <w:rFonts w:eastAsiaTheme="majorEastAsia"/>
          <w:color w:val="0E101A"/>
        </w:rPr>
        <w:t>Spinacia oleracea</w:t>
      </w:r>
      <w:r w:rsidRPr="00BB4B6E">
        <w:rPr>
          <w:color w:val="0E101A"/>
        </w:rPr>
        <w:t xml:space="preserve">) and </w:t>
      </w:r>
      <w:r w:rsidRPr="00BB4B6E">
        <w:rPr>
          <w:bCs/>
          <w:color w:val="0E101A"/>
        </w:rPr>
        <w:t>kales (</w:t>
      </w:r>
      <w:r w:rsidRPr="00BB4B6E">
        <w:rPr>
          <w:bCs/>
          <w:i/>
          <w:iCs/>
          <w:color w:val="0E101A"/>
        </w:rPr>
        <w:t>Brassica oleracea acephala</w:t>
      </w:r>
      <w:r w:rsidRPr="00BB4B6E">
        <w:rPr>
          <w:bCs/>
          <w:color w:val="0E101A"/>
        </w:rPr>
        <w:t>)</w:t>
      </w:r>
      <w:r w:rsidRPr="00BB4B6E">
        <w:t xml:space="preserve"> planted in the greenhouse study set at Nyakoe, Kisii </w:t>
      </w:r>
      <w:r w:rsidRPr="00BB4B6E">
        <w:lastRenderedPageBreak/>
        <w:t xml:space="preserve">County at temperature of averagely 27 </w:t>
      </w:r>
      <w:r w:rsidRPr="00BB4B6E">
        <w:rPr>
          <w:vertAlign w:val="superscript"/>
        </w:rPr>
        <w:t>0</w:t>
      </w:r>
      <w:r w:rsidRPr="00BB4B6E">
        <w:t>C. Three triplicates treatment with one seedling grown per treatment and per study crop</w:t>
      </w:r>
      <w:r>
        <w:t xml:space="preserve"> were done</w:t>
      </w:r>
      <w:r w:rsidRPr="00BB4B6E">
        <w:t>. Nano-fertilizers were applied at a rate of 2.5</w:t>
      </w:r>
      <w:r>
        <w:t xml:space="preserve"> </w:t>
      </w:r>
      <w:r w:rsidRPr="00BB4B6E">
        <w:t>% (w/w) with weight of experimental soil during planting. Kales, spinach and beans were allowed to grow upto 90 days of which harvesting and plant height measurement was done three times at 30</w:t>
      </w:r>
      <w:r w:rsidRPr="00BB4B6E">
        <w:rPr>
          <w:vertAlign w:val="superscript"/>
        </w:rPr>
        <w:t>th</w:t>
      </w:r>
      <w:r w:rsidRPr="00BB4B6E">
        <w:t xml:space="preserve"> , 60</w:t>
      </w:r>
      <w:r w:rsidRPr="00BB4B6E">
        <w:rPr>
          <w:vertAlign w:val="superscript"/>
        </w:rPr>
        <w:t>th</w:t>
      </w:r>
      <w:r w:rsidRPr="00BB4B6E">
        <w:t xml:space="preserve"> , and 90</w:t>
      </w:r>
      <w:r w:rsidRPr="00BB4B6E">
        <w:rPr>
          <w:vertAlign w:val="superscript"/>
        </w:rPr>
        <w:t>th</w:t>
      </w:r>
      <w:r w:rsidRPr="00BB4B6E">
        <w:t xml:space="preserve">  day, while stem diameter, leaf diameter, number of leaves, number of pods and dry weight biomass was measured at 90</w:t>
      </w:r>
      <w:r w:rsidRPr="00BB4B6E">
        <w:rPr>
          <w:vertAlign w:val="superscript"/>
        </w:rPr>
        <w:t>th</w:t>
      </w:r>
      <w:r w:rsidRPr="00BB4B6E">
        <w:t xml:space="preserve"> day. </w:t>
      </w:r>
    </w:p>
    <w:p w:rsidR="00F934C1" w:rsidRPr="00BB4B6E" w:rsidRDefault="00F934C1" w:rsidP="00F934C1">
      <w:pPr>
        <w:rPr>
          <w:rFonts w:eastAsiaTheme="minorEastAsia"/>
        </w:rPr>
      </w:pPr>
    </w:p>
    <w:p w:rsidR="00F934C1" w:rsidRPr="00BB4B6E" w:rsidRDefault="00F934C1" w:rsidP="00F934C1">
      <w:pPr>
        <w:pStyle w:val="Heading3"/>
        <w:rPr>
          <w:rFonts w:eastAsiaTheme="minorEastAsia"/>
        </w:rPr>
      </w:pPr>
      <w:bookmarkStart w:id="102" w:name="_Toc144820033"/>
      <w:r w:rsidRPr="00BB4B6E">
        <w:rPr>
          <w:rFonts w:eastAsiaTheme="minorEastAsia"/>
        </w:rPr>
        <w:t xml:space="preserve">3.6.1 </w:t>
      </w:r>
      <w:r w:rsidRPr="00B8137E">
        <w:t>Harvesting</w:t>
      </w:r>
      <w:r w:rsidRPr="00BB4B6E">
        <w:rPr>
          <w:rFonts w:eastAsiaTheme="minorEastAsia"/>
        </w:rPr>
        <w:t xml:space="preserve"> of Plant Samples</w:t>
      </w:r>
      <w:bookmarkEnd w:id="102"/>
    </w:p>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Harvesting of mature leaves were sampled in triplicates from </w:t>
      </w:r>
      <w:r w:rsidRPr="00BB4B6E">
        <w:t xml:space="preserve">beans </w:t>
      </w:r>
      <w:r w:rsidRPr="00BB4B6E">
        <w:rPr>
          <w:color w:val="0E101A"/>
        </w:rPr>
        <w:t>(</w:t>
      </w:r>
      <w:r w:rsidRPr="00BB4B6E">
        <w:rPr>
          <w:rStyle w:val="Emphasis"/>
          <w:rFonts w:eastAsiaTheme="majorEastAsia"/>
          <w:color w:val="0E101A"/>
        </w:rPr>
        <w:t>P. Vulgaris L</w:t>
      </w:r>
      <w:r w:rsidRPr="00BB4B6E">
        <w:rPr>
          <w:color w:val="0E101A"/>
        </w:rPr>
        <w:t>.), spinach (</w:t>
      </w:r>
      <w:r w:rsidRPr="00BB4B6E">
        <w:rPr>
          <w:rStyle w:val="Emphasis"/>
          <w:rFonts w:eastAsiaTheme="majorEastAsia"/>
          <w:color w:val="0E101A"/>
        </w:rPr>
        <w:t>Spinacia oleracea</w:t>
      </w:r>
      <w:r w:rsidRPr="00BB4B6E">
        <w:rPr>
          <w:color w:val="0E101A"/>
        </w:rPr>
        <w:t xml:space="preserve">) and </w:t>
      </w:r>
      <w:r w:rsidRPr="00BB4B6E">
        <w:rPr>
          <w:bCs/>
          <w:color w:val="0E101A"/>
        </w:rPr>
        <w:t>kales (</w:t>
      </w:r>
      <w:r w:rsidRPr="00BB4B6E">
        <w:rPr>
          <w:bCs/>
          <w:i/>
          <w:iCs/>
          <w:color w:val="0E101A"/>
        </w:rPr>
        <w:t>Brassica oleracea acephala</w:t>
      </w:r>
      <w:r w:rsidRPr="00BB4B6E">
        <w:rPr>
          <w:bCs/>
          <w:color w:val="0E101A"/>
        </w:rPr>
        <w:t>)</w:t>
      </w:r>
      <w:r w:rsidR="00877974">
        <w:rPr>
          <w:bCs/>
          <w:color w:val="0E101A"/>
        </w:rPr>
        <w:t xml:space="preserve"> </w:t>
      </w:r>
      <w:r w:rsidRPr="00BB4B6E">
        <w:rPr>
          <w:color w:val="0E101A"/>
        </w:rPr>
        <w:t xml:space="preserve">study crops with sample size of n = 9. </w:t>
      </w:r>
      <w:r w:rsidRPr="00BB4B6E">
        <w:t xml:space="preserve">The harvested leaves were double washed with triple distilled water, dried at oven set at 60 </w:t>
      </w:r>
      <w:r w:rsidRPr="00BB4B6E">
        <w:rPr>
          <w:vertAlign w:val="superscript"/>
        </w:rPr>
        <w:t>0</w:t>
      </w:r>
      <w:r w:rsidRPr="00BB4B6E">
        <w:t>C for 3 hours. The sample was ground into fine powder then acid digested before being measured by AAS for levels of Cd and Pb.</w:t>
      </w:r>
    </w:p>
    <w:p w:rsidR="00F934C1" w:rsidRPr="00BB4B6E" w:rsidRDefault="00F934C1" w:rsidP="00F934C1"/>
    <w:p w:rsidR="00F934C1" w:rsidRPr="00BB4B6E" w:rsidRDefault="00F934C1" w:rsidP="00F934C1">
      <w:pPr>
        <w:pStyle w:val="Heading3"/>
        <w:rPr>
          <w:rFonts w:eastAsiaTheme="minorEastAsia"/>
        </w:rPr>
      </w:pPr>
      <w:bookmarkStart w:id="103" w:name="_Toc144820034"/>
      <w:r w:rsidRPr="00BB4B6E">
        <w:rPr>
          <w:rFonts w:eastAsiaTheme="minorEastAsia"/>
        </w:rPr>
        <w:t xml:space="preserve">3.6.2 </w:t>
      </w:r>
      <w:r w:rsidRPr="00B8137E">
        <w:t>Preparation</w:t>
      </w:r>
      <w:r w:rsidRPr="00BB4B6E">
        <w:rPr>
          <w:rFonts w:eastAsiaTheme="minorEastAsia"/>
        </w:rPr>
        <w:t xml:space="preserve"> of Standards</w:t>
      </w:r>
      <w:bookmarkEnd w:id="103"/>
    </w:p>
    <w:p w:rsidR="00F934C1" w:rsidRDefault="00F934C1" w:rsidP="00F934C1">
      <w:pPr>
        <w:pStyle w:val="NormalWeb"/>
        <w:spacing w:before="0" w:beforeAutospacing="0" w:after="0" w:afterAutospacing="0" w:line="480" w:lineRule="auto"/>
        <w:rPr>
          <w:color w:val="0E101A"/>
        </w:rPr>
      </w:pPr>
      <w:r w:rsidRPr="00BB4B6E">
        <w:rPr>
          <w:color w:val="0E101A"/>
        </w:rPr>
        <w:t>All the chemicals that were used to prepare standards were of analytical grade (˃98.7 %) and their solution were made using triple-distilled deionized water. The 1000 ppm cadmium standard solution was made by dissolving exactly 1.0 g of Cd(NO</w:t>
      </w:r>
      <w:r w:rsidRPr="00BB4B6E">
        <w:rPr>
          <w:color w:val="0E101A"/>
          <w:vertAlign w:val="subscript"/>
        </w:rPr>
        <w:t>3</w:t>
      </w:r>
      <w:r w:rsidRPr="00BB4B6E">
        <w:rPr>
          <w:color w:val="0E101A"/>
        </w:rPr>
        <w:t>)</w:t>
      </w:r>
      <w:r w:rsidRPr="00BB4B6E">
        <w:rPr>
          <w:color w:val="0E101A"/>
          <w:vertAlign w:val="subscript"/>
        </w:rPr>
        <w:t>2</w:t>
      </w:r>
      <w:r w:rsidRPr="00BB4B6E">
        <w:rPr>
          <w:color w:val="0E101A"/>
        </w:rPr>
        <w:t xml:space="preserve"> in aqua regia solution which is HCl and HNO</w:t>
      </w:r>
      <w:r w:rsidRPr="00BB4B6E">
        <w:rPr>
          <w:color w:val="0E101A"/>
          <w:vertAlign w:val="subscript"/>
        </w:rPr>
        <w:t>3</w:t>
      </w:r>
      <w:r w:rsidRPr="00BB4B6E">
        <w:rPr>
          <w:color w:val="0E101A"/>
        </w:rPr>
        <w:t xml:space="preserve"> mixed at a ratio of 1:3, and then resultant solution made up to 1 litre. Whereas 10</w:t>
      </w:r>
      <w:r>
        <w:rPr>
          <w:color w:val="0E101A"/>
        </w:rPr>
        <w:t>00 ppm lead standard solution wa</w:t>
      </w:r>
      <w:r w:rsidRPr="00BB4B6E">
        <w:rPr>
          <w:color w:val="0E101A"/>
        </w:rPr>
        <w:t>s made by dissolving exactly 1.59 g of Pb(NO</w:t>
      </w:r>
      <w:r w:rsidRPr="00BB4B6E">
        <w:rPr>
          <w:color w:val="0E101A"/>
          <w:vertAlign w:val="subscript"/>
        </w:rPr>
        <w:t>3</w:t>
      </w:r>
      <w:r w:rsidRPr="00BB4B6E">
        <w:rPr>
          <w:color w:val="0E101A"/>
        </w:rPr>
        <w:t>)</w:t>
      </w:r>
      <w:r w:rsidRPr="00BB4B6E">
        <w:rPr>
          <w:color w:val="0E101A"/>
          <w:vertAlign w:val="subscript"/>
        </w:rPr>
        <w:t>2</w:t>
      </w:r>
      <w:r w:rsidRPr="00BB4B6E">
        <w:rPr>
          <w:color w:val="0E101A"/>
        </w:rPr>
        <w:t xml:space="preserve"> in one liter of dilute solution of 1 % HNO</w:t>
      </w:r>
      <w:r w:rsidRPr="00BB4B6E">
        <w:rPr>
          <w:color w:val="0E101A"/>
          <w:vertAlign w:val="subscript"/>
        </w:rPr>
        <w:t>3</w:t>
      </w:r>
      <w:r w:rsidRPr="00BB4B6E">
        <w:rPr>
          <w:color w:val="0E101A"/>
        </w:rPr>
        <w:t xml:space="preserve">. Serial dilution was done on the resultant solution to get various working </w:t>
      </w:r>
      <w:r w:rsidRPr="00BB4B6E">
        <w:rPr>
          <w:color w:val="0E101A"/>
        </w:rPr>
        <w:lastRenderedPageBreak/>
        <w:t xml:space="preserve">standards of 1, 5, 10, 15, 20, 25, 50 and 100 ppm. The absorbencies of these standards together with their concentration were used to plot the calibration curve used in determination of analytes concentration (Iqbal </w:t>
      </w:r>
      <w:r w:rsidRPr="00BB4B6E">
        <w:rPr>
          <w:rStyle w:val="Emphasis"/>
          <w:rFonts w:eastAsiaTheme="majorEastAsia"/>
          <w:color w:val="0E101A"/>
        </w:rPr>
        <w:t>et al</w:t>
      </w:r>
      <w:r w:rsidRPr="00BB4B6E">
        <w:rPr>
          <w:color w:val="0E101A"/>
        </w:rPr>
        <w:t>., 2019).</w:t>
      </w:r>
    </w:p>
    <w:p w:rsidR="003E3955" w:rsidRPr="00BB4B6E" w:rsidRDefault="003E3955" w:rsidP="00F934C1">
      <w:pPr>
        <w:pStyle w:val="NormalWeb"/>
        <w:spacing w:before="0" w:beforeAutospacing="0" w:after="0" w:afterAutospacing="0" w:line="480" w:lineRule="auto"/>
        <w:rPr>
          <w:color w:val="0E101A"/>
        </w:rPr>
      </w:pPr>
    </w:p>
    <w:p w:rsidR="00F934C1" w:rsidRPr="00BB4B6E" w:rsidRDefault="00F934C1" w:rsidP="00F934C1">
      <w:pPr>
        <w:pStyle w:val="Heading3"/>
        <w:rPr>
          <w:rFonts w:eastAsiaTheme="minorEastAsia"/>
        </w:rPr>
      </w:pPr>
      <w:bookmarkStart w:id="104" w:name="_Toc144820035"/>
      <w:r w:rsidRPr="00BB4B6E">
        <w:rPr>
          <w:rFonts w:eastAsiaTheme="minorEastAsia"/>
        </w:rPr>
        <w:t xml:space="preserve">3.6.3 Sample </w:t>
      </w:r>
      <w:r w:rsidRPr="00B8137E">
        <w:t>Digestion</w:t>
      </w:r>
      <w:r w:rsidRPr="00BB4B6E">
        <w:rPr>
          <w:rFonts w:eastAsiaTheme="minorEastAsia"/>
        </w:rPr>
        <w:t xml:space="preserve"> and Heavy Metal Determination</w:t>
      </w:r>
      <w:bookmarkEnd w:id="104"/>
    </w:p>
    <w:p w:rsidR="00F934C1" w:rsidRPr="00BB4B6E" w:rsidRDefault="00F934C1" w:rsidP="00F934C1">
      <w:pPr>
        <w:pStyle w:val="NormalWeb"/>
        <w:spacing w:before="0" w:beforeAutospacing="0" w:after="0" w:afterAutospacing="0" w:line="480" w:lineRule="auto"/>
      </w:pPr>
      <w:r w:rsidRPr="00BB4B6E">
        <w:rPr>
          <w:color w:val="0E101A"/>
        </w:rPr>
        <w:t xml:space="preserve">Triplicate leave samples were digested by the procedures described by Pramod </w:t>
      </w:r>
      <w:r w:rsidRPr="00BB4B6E">
        <w:rPr>
          <w:rStyle w:val="Emphasis"/>
          <w:rFonts w:eastAsiaTheme="majorEastAsia"/>
          <w:color w:val="0E101A"/>
        </w:rPr>
        <w:t>et al</w:t>
      </w:r>
      <w:r w:rsidRPr="00BB4B6E">
        <w:rPr>
          <w:color w:val="0E101A"/>
        </w:rPr>
        <w:t xml:space="preserve">. (2013). Accurately weighed 2.0 g leave samples was acid digested by reacting with concentrated nitric acid until no more brown fumes were evolved. The digestion was done at temperatures of over 100 </w:t>
      </w:r>
      <w:r w:rsidRPr="00BB4B6E">
        <w:rPr>
          <w:color w:val="0E101A"/>
          <w:vertAlign w:val="superscript"/>
        </w:rPr>
        <w:t>0</w:t>
      </w:r>
      <w:r w:rsidRPr="00BB4B6E">
        <w:rPr>
          <w:color w:val="0E101A"/>
        </w:rPr>
        <w:t xml:space="preserve">C. The digested samples were cooled and then rinsed with 20 ml solution of 6 % nitric (v) acid. The resultant mixture was filtered and then topped into the mark of 50 ml volumetric flask with triple distilled deionized water. The digested samples were corked in plastic bottles before being stored in a freezer at KU laboratory awaiting AAS measurements. </w:t>
      </w:r>
      <w:r w:rsidRPr="00BB4B6E">
        <w:t>The digested samples were aspirated into the AAS and absorbance measured at wavelength of 228.80 nm for Cd and 283.30 nm for Pb.</w:t>
      </w:r>
    </w:p>
    <w:p w:rsidR="00F934C1" w:rsidRPr="00BB4B6E" w:rsidRDefault="00F934C1" w:rsidP="00F934C1">
      <w:pPr>
        <w:pStyle w:val="NormalWeb"/>
        <w:spacing w:before="0" w:beforeAutospacing="0" w:after="0" w:afterAutospacing="0" w:line="480" w:lineRule="auto"/>
        <w:rPr>
          <w:rFonts w:eastAsiaTheme="minorEastAsia"/>
          <w:color w:val="auto"/>
        </w:rPr>
      </w:pPr>
    </w:p>
    <w:p w:rsidR="00F934C1" w:rsidRPr="00BB4B6E" w:rsidRDefault="00F934C1" w:rsidP="00F934C1">
      <w:pPr>
        <w:pStyle w:val="NormalWeb"/>
        <w:spacing w:before="0" w:beforeAutospacing="0" w:after="0" w:afterAutospacing="0" w:line="480" w:lineRule="auto"/>
      </w:pPr>
      <w:r w:rsidRPr="00BB4B6E">
        <w:rPr>
          <w:color w:val="0E101A"/>
        </w:rPr>
        <w:t xml:space="preserve">Triplicate blanks were prepared in a similar way the samples were prepared, then the matrix introduced into the AAS equipment for the blank sample analysis, then used for method validation. The standards were the basis of calibration curves used in the determination of the concentration of Cd and Pb. The curves were obtained by plotting the absorbance against varied concentrations obtained by serial dilution of standard solutions. Calibration curves were used in determination of Cd and Pb levels. Analysis of the digested samples was done in triplicates (Asare </w:t>
      </w:r>
      <w:r w:rsidRPr="00BB4B6E">
        <w:rPr>
          <w:i/>
          <w:color w:val="0E101A"/>
        </w:rPr>
        <w:t>et al</w:t>
      </w:r>
      <w:r w:rsidRPr="00BB4B6E">
        <w:rPr>
          <w:color w:val="0E101A"/>
        </w:rPr>
        <w:t xml:space="preserve">., 2019; Musico </w:t>
      </w:r>
      <w:r w:rsidRPr="00BB4B6E">
        <w:rPr>
          <w:rStyle w:val="Emphasis"/>
          <w:rFonts w:eastAsiaTheme="majorEastAsia"/>
          <w:color w:val="0E101A"/>
        </w:rPr>
        <w:t>et al</w:t>
      </w:r>
      <w:r w:rsidRPr="00BB4B6E">
        <w:rPr>
          <w:color w:val="0E101A"/>
        </w:rPr>
        <w:t>., 2013).</w:t>
      </w:r>
    </w:p>
    <w:p w:rsidR="00F934C1" w:rsidRPr="00BB4B6E" w:rsidRDefault="00F934C1" w:rsidP="00F934C1">
      <w:pPr>
        <w:pStyle w:val="Heading2"/>
      </w:pPr>
      <w:bookmarkStart w:id="105" w:name="_Toc144820036"/>
      <w:r w:rsidRPr="00BB4B6E">
        <w:lastRenderedPageBreak/>
        <w:t xml:space="preserve">3.7 </w:t>
      </w:r>
      <w:r w:rsidRPr="00B8137E">
        <w:t>Determination</w:t>
      </w:r>
      <w:r w:rsidRPr="00BB4B6E">
        <w:rPr>
          <w:rFonts w:eastAsiaTheme="minorEastAsia"/>
        </w:rPr>
        <w:t xml:space="preserve"> of Growth Performance</w:t>
      </w:r>
      <w:bookmarkEnd w:id="105"/>
    </w:p>
    <w:p w:rsidR="00F934C1" w:rsidRPr="00BB4B6E" w:rsidRDefault="00F934C1" w:rsidP="00F934C1">
      <w:r w:rsidRPr="00BB4B6E">
        <w:rPr>
          <w:color w:val="0E101A"/>
        </w:rPr>
        <w:t>Study crops</w:t>
      </w:r>
      <w:r>
        <w:rPr>
          <w:color w:val="0E101A"/>
        </w:rPr>
        <w:t xml:space="preserve"> kale, spinach and beans</w:t>
      </w:r>
      <w:r w:rsidRPr="00BB4B6E">
        <w:rPr>
          <w:color w:val="0E101A"/>
        </w:rPr>
        <w:t xml:space="preserve"> were left to grow to 90 days at maturity</w:t>
      </w:r>
      <w:r>
        <w:rPr>
          <w:color w:val="0E101A"/>
        </w:rPr>
        <w:t xml:space="preserve"> stage</w:t>
      </w:r>
      <w:r w:rsidRPr="00BB4B6E">
        <w:rPr>
          <w:color w:val="0E101A"/>
        </w:rPr>
        <w:t xml:space="preserve">. </w:t>
      </w:r>
      <w:r w:rsidRPr="00BB4B6E">
        <w:t xml:space="preserve">The growth performance parameters namely plant height, dry weight, leaf diameter and number of leaves for beans </w:t>
      </w:r>
      <w:r w:rsidRPr="00BB4B6E">
        <w:rPr>
          <w:color w:val="0E101A"/>
        </w:rPr>
        <w:t>(</w:t>
      </w:r>
      <w:r w:rsidRPr="00BB4B6E">
        <w:rPr>
          <w:rStyle w:val="Emphasis"/>
          <w:rFonts w:eastAsiaTheme="majorEastAsia"/>
          <w:color w:val="0E101A"/>
        </w:rPr>
        <w:t>P. Vulgaris L</w:t>
      </w:r>
      <w:r w:rsidRPr="00BB4B6E">
        <w:rPr>
          <w:color w:val="0E101A"/>
        </w:rPr>
        <w:t>.), spinach (</w:t>
      </w:r>
      <w:r w:rsidRPr="00BB4B6E">
        <w:rPr>
          <w:rStyle w:val="Emphasis"/>
          <w:rFonts w:eastAsiaTheme="majorEastAsia"/>
          <w:color w:val="0E101A"/>
        </w:rPr>
        <w:t>Spinacia oleracea</w:t>
      </w:r>
      <w:r w:rsidRPr="00BB4B6E">
        <w:rPr>
          <w:color w:val="0E101A"/>
        </w:rPr>
        <w:t xml:space="preserve">) and </w:t>
      </w:r>
      <w:r w:rsidRPr="00BB4B6E">
        <w:rPr>
          <w:bCs/>
          <w:color w:val="0E101A"/>
        </w:rPr>
        <w:t>kales (</w:t>
      </w:r>
      <w:r w:rsidRPr="00BB4B6E">
        <w:rPr>
          <w:bCs/>
          <w:i/>
          <w:iCs/>
          <w:color w:val="0E101A"/>
        </w:rPr>
        <w:t>Brassica oleracea acephala</w:t>
      </w:r>
      <w:r w:rsidRPr="00BB4B6E">
        <w:rPr>
          <w:bCs/>
          <w:color w:val="0E101A"/>
        </w:rPr>
        <w:t>)</w:t>
      </w:r>
      <w:r w:rsidR="00E95A86">
        <w:rPr>
          <w:bCs/>
          <w:color w:val="0E101A"/>
        </w:rPr>
        <w:t xml:space="preserve"> </w:t>
      </w:r>
      <w:r w:rsidRPr="00BB4B6E">
        <w:rPr>
          <w:color w:val="0E101A"/>
        </w:rPr>
        <w:t xml:space="preserve">grown using synthetic and bone hydroxyapatite nano-fertilizers </w:t>
      </w:r>
      <w:r w:rsidRPr="00BB4B6E">
        <w:t xml:space="preserve">at 30, </w:t>
      </w:r>
      <w:r>
        <w:t>60 and 90 day</w:t>
      </w:r>
      <w:r w:rsidRPr="001E641F">
        <w:t>.</w:t>
      </w:r>
    </w:p>
    <w:p w:rsidR="00F934C1" w:rsidRPr="00BB4B6E" w:rsidRDefault="00F934C1" w:rsidP="00F934C1"/>
    <w:p w:rsidR="00F934C1" w:rsidRPr="00BB4B6E" w:rsidRDefault="00F934C1" w:rsidP="00F934C1">
      <w:pPr>
        <w:pStyle w:val="Heading3"/>
      </w:pPr>
      <w:bookmarkStart w:id="106" w:name="_Toc144820037"/>
      <w:r w:rsidRPr="00BB4B6E">
        <w:t xml:space="preserve">3.7.1 </w:t>
      </w:r>
      <w:r w:rsidRPr="00B8137E">
        <w:t>Plant</w:t>
      </w:r>
      <w:r w:rsidRPr="00BB4B6E">
        <w:t xml:space="preserve"> Height</w:t>
      </w:r>
      <w:bookmarkEnd w:id="106"/>
    </w:p>
    <w:p w:rsidR="00F934C1" w:rsidRPr="00BB4B6E" w:rsidRDefault="00F934C1" w:rsidP="00F934C1">
      <w:pPr>
        <w:pStyle w:val="NormalWeb"/>
        <w:spacing w:before="0" w:beforeAutospacing="0" w:after="0" w:afterAutospacing="0" w:line="480" w:lineRule="auto"/>
        <w:rPr>
          <w:color w:val="0E101A"/>
        </w:rPr>
      </w:pPr>
      <w:r w:rsidRPr="00BB4B6E">
        <w:rPr>
          <w:color w:val="0E101A"/>
        </w:rPr>
        <w:t xml:space="preserve">Using a tape measure, the height (cm) of the main stem of the kale </w:t>
      </w:r>
      <w:r w:rsidRPr="00BB4B6E">
        <w:rPr>
          <w:bCs/>
          <w:color w:val="0E101A"/>
        </w:rPr>
        <w:t>(</w:t>
      </w:r>
      <w:r w:rsidRPr="00BB4B6E">
        <w:rPr>
          <w:bCs/>
          <w:i/>
          <w:iCs/>
          <w:color w:val="0E101A"/>
        </w:rPr>
        <w:t>Brassica oleracea acephala</w:t>
      </w:r>
      <w:r w:rsidRPr="00BB4B6E">
        <w:rPr>
          <w:bCs/>
          <w:color w:val="0E101A"/>
        </w:rPr>
        <w:t>)</w:t>
      </w:r>
      <w:r w:rsidRPr="00BB4B6E">
        <w:rPr>
          <w:color w:val="0E101A"/>
        </w:rPr>
        <w:t xml:space="preserve"> plant was measured from the soil level to the highest tip of visible leave at 30</w:t>
      </w:r>
      <w:r w:rsidRPr="00BB4B6E">
        <w:rPr>
          <w:color w:val="0E101A"/>
          <w:vertAlign w:val="superscript"/>
        </w:rPr>
        <w:t>th</w:t>
      </w:r>
      <w:r w:rsidRPr="00BB4B6E">
        <w:rPr>
          <w:color w:val="0E101A"/>
        </w:rPr>
        <w:t>, 60</w:t>
      </w:r>
      <w:r w:rsidRPr="00BB4B6E">
        <w:rPr>
          <w:color w:val="0E101A"/>
          <w:vertAlign w:val="superscript"/>
        </w:rPr>
        <w:t>th</w:t>
      </w:r>
      <w:r w:rsidRPr="00BB4B6E">
        <w:rPr>
          <w:color w:val="0E101A"/>
        </w:rPr>
        <w:t>, and 90</w:t>
      </w:r>
      <w:r w:rsidRPr="00BB4B6E">
        <w:rPr>
          <w:color w:val="0E101A"/>
          <w:vertAlign w:val="superscript"/>
        </w:rPr>
        <w:t>th</w:t>
      </w:r>
      <w:r w:rsidRPr="00BB4B6E">
        <w:rPr>
          <w:color w:val="0E101A"/>
        </w:rPr>
        <w:t xml:space="preserve"> day according to Mohammad </w:t>
      </w:r>
      <w:r w:rsidRPr="00BB4B6E">
        <w:rPr>
          <w:i/>
          <w:color w:val="0E101A"/>
        </w:rPr>
        <w:t>et al.,</w:t>
      </w:r>
      <w:r w:rsidRPr="00BB4B6E">
        <w:rPr>
          <w:color w:val="0E101A"/>
        </w:rPr>
        <w:t xml:space="preserve"> (2019). The measurement was done in triplicates. The same procedure was applied to measure the height of </w:t>
      </w:r>
      <w:r w:rsidRPr="00BB4B6E">
        <w:t xml:space="preserve">beans </w:t>
      </w:r>
      <w:r w:rsidRPr="00BB4B6E">
        <w:rPr>
          <w:color w:val="0E101A"/>
        </w:rPr>
        <w:t>(</w:t>
      </w:r>
      <w:r w:rsidRPr="00BB4B6E">
        <w:rPr>
          <w:rStyle w:val="Emphasis"/>
          <w:rFonts w:eastAsiaTheme="majorEastAsia"/>
          <w:color w:val="0E101A"/>
        </w:rPr>
        <w:t>P. Vulgaris L</w:t>
      </w:r>
      <w:r>
        <w:rPr>
          <w:color w:val="0E101A"/>
        </w:rPr>
        <w:t>.) and</w:t>
      </w:r>
      <w:r w:rsidRPr="00BB4B6E">
        <w:rPr>
          <w:color w:val="0E101A"/>
        </w:rPr>
        <w:t xml:space="preserve"> spinach (</w:t>
      </w:r>
      <w:r w:rsidRPr="00BB4B6E">
        <w:rPr>
          <w:rStyle w:val="Emphasis"/>
          <w:rFonts w:eastAsiaTheme="majorEastAsia"/>
          <w:color w:val="0E101A"/>
        </w:rPr>
        <w:t>Spinacia oleracea</w:t>
      </w:r>
      <w:r w:rsidRPr="00BB4B6E">
        <w:rPr>
          <w:color w:val="0E101A"/>
        </w:rPr>
        <w:t>).</w:t>
      </w:r>
    </w:p>
    <w:p w:rsidR="00F934C1" w:rsidRPr="00BB4B6E" w:rsidRDefault="00F934C1" w:rsidP="00F934C1"/>
    <w:p w:rsidR="00F934C1" w:rsidRPr="00BB4B6E" w:rsidRDefault="00F934C1" w:rsidP="00F934C1">
      <w:pPr>
        <w:pStyle w:val="Heading3"/>
      </w:pPr>
      <w:bookmarkStart w:id="107" w:name="_Toc144820038"/>
      <w:r w:rsidRPr="00BB4B6E">
        <w:t xml:space="preserve">3.7.2 Leaf </w:t>
      </w:r>
      <w:r w:rsidRPr="00B8137E">
        <w:t>Diameter</w:t>
      </w:r>
      <w:bookmarkEnd w:id="107"/>
    </w:p>
    <w:p w:rsidR="00F934C1" w:rsidRPr="00BB4B6E" w:rsidRDefault="00F934C1" w:rsidP="00F934C1">
      <w:pPr>
        <w:rPr>
          <w:color w:val="0E101A"/>
        </w:rPr>
      </w:pPr>
      <w:r w:rsidRPr="00BB4B6E">
        <w:rPr>
          <w:color w:val="0E101A"/>
        </w:rPr>
        <w:t xml:space="preserve">Leaf diameter </w:t>
      </w:r>
      <w:r w:rsidRPr="00BB4B6E">
        <w:rPr>
          <w:color w:val="000000" w:themeColor="text1"/>
        </w:rPr>
        <w:t>(cm)</w:t>
      </w:r>
      <w:r>
        <w:rPr>
          <w:color w:val="0E101A"/>
        </w:rPr>
        <w:t xml:space="preserve"> was measured by</w:t>
      </w:r>
      <w:r w:rsidRPr="00BB4B6E">
        <w:rPr>
          <w:color w:val="0E101A"/>
        </w:rPr>
        <w:t xml:space="preserve"> randomly selecting kale </w:t>
      </w:r>
      <w:r w:rsidRPr="00BB4B6E">
        <w:rPr>
          <w:bCs/>
          <w:color w:val="0E101A"/>
        </w:rPr>
        <w:t>(</w:t>
      </w:r>
      <w:r w:rsidRPr="00BB4B6E">
        <w:rPr>
          <w:bCs/>
          <w:i/>
          <w:iCs/>
          <w:color w:val="0E101A"/>
        </w:rPr>
        <w:t>Brassica oleracea acephala</w:t>
      </w:r>
      <w:r w:rsidRPr="00BB4B6E">
        <w:rPr>
          <w:bCs/>
          <w:color w:val="0E101A"/>
        </w:rPr>
        <w:t>)</w:t>
      </w:r>
      <w:r w:rsidRPr="00BB4B6E">
        <w:rPr>
          <w:color w:val="0E101A"/>
        </w:rPr>
        <w:t xml:space="preserve"> leaf and measured in triplicate from one leaf end to other, at every time of harvest using 30 cm ruler and recorded in respective tables. The experimental procedures were repeated with </w:t>
      </w:r>
      <w:r w:rsidRPr="00BB4B6E">
        <w:t xml:space="preserve">beans </w:t>
      </w:r>
      <w:r w:rsidRPr="00BB4B6E">
        <w:rPr>
          <w:color w:val="0E101A"/>
        </w:rPr>
        <w:t>(</w:t>
      </w:r>
      <w:r w:rsidRPr="00BB4B6E">
        <w:rPr>
          <w:rStyle w:val="Emphasis"/>
          <w:rFonts w:eastAsiaTheme="majorEastAsia"/>
          <w:color w:val="0E101A"/>
        </w:rPr>
        <w:t>P. Vulgaris L</w:t>
      </w:r>
      <w:r>
        <w:rPr>
          <w:color w:val="0E101A"/>
        </w:rPr>
        <w:t>.) and</w:t>
      </w:r>
      <w:r w:rsidRPr="00BB4B6E">
        <w:rPr>
          <w:color w:val="0E101A"/>
        </w:rPr>
        <w:t xml:space="preserve"> spinach (</w:t>
      </w:r>
      <w:r w:rsidRPr="00BB4B6E">
        <w:rPr>
          <w:rStyle w:val="Emphasis"/>
          <w:rFonts w:eastAsiaTheme="majorEastAsia"/>
          <w:color w:val="0E101A"/>
        </w:rPr>
        <w:t>Spinacia oleracea</w:t>
      </w:r>
      <w:r w:rsidRPr="00BB4B6E">
        <w:rPr>
          <w:color w:val="0E101A"/>
        </w:rPr>
        <w:t>) leaf.</w:t>
      </w:r>
    </w:p>
    <w:p w:rsidR="00F934C1" w:rsidRPr="00BB4B6E" w:rsidRDefault="00F934C1" w:rsidP="00F934C1"/>
    <w:p w:rsidR="00F934C1" w:rsidRPr="00BB4B6E" w:rsidRDefault="00F934C1" w:rsidP="00F934C1">
      <w:pPr>
        <w:pStyle w:val="Heading3"/>
      </w:pPr>
      <w:bookmarkStart w:id="108" w:name="_Toc144820039"/>
      <w:r>
        <w:t xml:space="preserve">3.7.3 </w:t>
      </w:r>
      <w:r w:rsidRPr="00B8137E">
        <w:t>Number</w:t>
      </w:r>
      <w:r w:rsidRPr="00BB4B6E">
        <w:t xml:space="preserve"> of Leaves</w:t>
      </w:r>
      <w:bookmarkEnd w:id="108"/>
    </w:p>
    <w:p w:rsidR="00F934C1" w:rsidRPr="00BB4B6E" w:rsidRDefault="00F934C1" w:rsidP="00F934C1">
      <w:pPr>
        <w:rPr>
          <w:color w:val="0E101A"/>
        </w:rPr>
      </w:pPr>
      <w:r w:rsidRPr="00BB4B6E">
        <w:rPr>
          <w:color w:val="0E101A"/>
        </w:rPr>
        <w:t xml:space="preserve">For kales </w:t>
      </w:r>
      <w:r w:rsidRPr="00BB4B6E">
        <w:rPr>
          <w:bCs/>
          <w:color w:val="0E101A"/>
        </w:rPr>
        <w:t>(</w:t>
      </w:r>
      <w:r w:rsidRPr="00BB4B6E">
        <w:rPr>
          <w:bCs/>
          <w:i/>
          <w:iCs/>
          <w:color w:val="0E101A"/>
        </w:rPr>
        <w:t>Brassica oleracea acephala</w:t>
      </w:r>
      <w:r w:rsidRPr="00BB4B6E">
        <w:rPr>
          <w:bCs/>
          <w:color w:val="0E101A"/>
        </w:rPr>
        <w:t>)</w:t>
      </w:r>
      <w:r w:rsidRPr="00BB4B6E">
        <w:rPr>
          <w:color w:val="0E101A"/>
        </w:rPr>
        <w:t xml:space="preserve"> the physical visible leaves were counted manually in triplicates and the number of leaves per plant recorded in respective </w:t>
      </w:r>
      <w:r w:rsidRPr="00BB4B6E">
        <w:rPr>
          <w:color w:val="0E101A"/>
        </w:rPr>
        <w:lastRenderedPageBreak/>
        <w:t>tables. For the spinach (</w:t>
      </w:r>
      <w:r w:rsidRPr="00BB4B6E">
        <w:rPr>
          <w:rStyle w:val="Emphasis"/>
          <w:rFonts w:eastAsiaTheme="majorEastAsia"/>
          <w:color w:val="0E101A"/>
        </w:rPr>
        <w:t>Spinacia oleracea</w:t>
      </w:r>
      <w:r w:rsidRPr="00BB4B6E">
        <w:rPr>
          <w:color w:val="0E101A"/>
        </w:rPr>
        <w:t xml:space="preserve">), all identified leaves were counted including senesced leaves. The experimental procedures were repeated with </w:t>
      </w:r>
      <w:r w:rsidRPr="00BB4B6E">
        <w:t xml:space="preserve">beans </w:t>
      </w:r>
      <w:r w:rsidRPr="00BB4B6E">
        <w:rPr>
          <w:color w:val="0E101A"/>
        </w:rPr>
        <w:t>(</w:t>
      </w:r>
      <w:r w:rsidRPr="00BB4B6E">
        <w:rPr>
          <w:rStyle w:val="Emphasis"/>
          <w:rFonts w:eastAsiaTheme="majorEastAsia"/>
          <w:color w:val="0E101A"/>
        </w:rPr>
        <w:t>P. Vulgaris L</w:t>
      </w:r>
      <w:r w:rsidRPr="00BB4B6E">
        <w:rPr>
          <w:color w:val="0E101A"/>
        </w:rPr>
        <w:t>.).</w:t>
      </w:r>
    </w:p>
    <w:p w:rsidR="00F934C1" w:rsidRPr="00BB4B6E" w:rsidRDefault="00F934C1" w:rsidP="00F934C1">
      <w:pPr>
        <w:rPr>
          <w:color w:val="0E101A"/>
        </w:rPr>
      </w:pPr>
    </w:p>
    <w:p w:rsidR="00F934C1" w:rsidRPr="00BB4B6E" w:rsidRDefault="00F934C1" w:rsidP="00F934C1">
      <w:pPr>
        <w:pStyle w:val="Heading3"/>
      </w:pPr>
      <w:bookmarkStart w:id="109" w:name="_Toc144820040"/>
      <w:r>
        <w:t xml:space="preserve">3.7.4 </w:t>
      </w:r>
      <w:r w:rsidRPr="00B8137E">
        <w:t>Number</w:t>
      </w:r>
      <w:r w:rsidRPr="00BB4B6E">
        <w:t xml:space="preserve"> of Pods</w:t>
      </w:r>
      <w:bookmarkEnd w:id="109"/>
    </w:p>
    <w:p w:rsidR="00F934C1" w:rsidRPr="00BB4B6E" w:rsidRDefault="00F934C1" w:rsidP="00F934C1">
      <w:pPr>
        <w:pStyle w:val="NormalWeb"/>
        <w:spacing w:before="0" w:beforeAutospacing="0" w:after="0" w:afterAutospacing="0" w:line="480" w:lineRule="auto"/>
        <w:rPr>
          <w:color w:val="0E101A"/>
        </w:rPr>
      </w:pPr>
      <w:r w:rsidRPr="00BB4B6E">
        <w:rPr>
          <w:color w:val="0E101A"/>
        </w:rPr>
        <w:t>For beans (</w:t>
      </w:r>
      <w:r w:rsidRPr="00BB4B6E">
        <w:rPr>
          <w:rStyle w:val="Emphasis"/>
          <w:rFonts w:eastAsiaTheme="majorEastAsia"/>
          <w:color w:val="0E101A"/>
        </w:rPr>
        <w:t>P. Vulgaris L</w:t>
      </w:r>
      <w:r w:rsidRPr="00BB4B6E">
        <w:rPr>
          <w:color w:val="0E101A"/>
        </w:rPr>
        <w:t>.) the physical visible pods were counted manually in triplicates and the number of pods per plant recorded in respective tables.</w:t>
      </w:r>
    </w:p>
    <w:p w:rsidR="00F934C1" w:rsidRPr="00BB4B6E" w:rsidRDefault="00F934C1" w:rsidP="00F934C1">
      <w:pPr>
        <w:pStyle w:val="NormalWeb"/>
        <w:spacing w:before="0" w:beforeAutospacing="0" w:after="0" w:afterAutospacing="0" w:line="480" w:lineRule="auto"/>
        <w:rPr>
          <w:color w:val="0E101A"/>
        </w:rPr>
      </w:pPr>
    </w:p>
    <w:p w:rsidR="00F934C1" w:rsidRPr="00BB4B6E" w:rsidRDefault="00F934C1" w:rsidP="00F934C1">
      <w:pPr>
        <w:pStyle w:val="Heading3"/>
      </w:pPr>
      <w:bookmarkStart w:id="110" w:name="_Toc144820041"/>
      <w:r w:rsidRPr="00BB4B6E">
        <w:t xml:space="preserve">3.7.5 </w:t>
      </w:r>
      <w:r w:rsidRPr="00B8137E">
        <w:t>Dry</w:t>
      </w:r>
      <w:r w:rsidRPr="00BB4B6E">
        <w:t xml:space="preserve"> Biomass Weight</w:t>
      </w:r>
      <w:bookmarkEnd w:id="110"/>
    </w:p>
    <w:p w:rsidR="00F934C1" w:rsidRPr="00BB4B6E" w:rsidRDefault="00F934C1" w:rsidP="00F934C1">
      <w:pPr>
        <w:pStyle w:val="NormalWeb"/>
        <w:spacing w:before="0" w:beforeAutospacing="0" w:after="0" w:afterAutospacing="0" w:line="480" w:lineRule="auto"/>
        <w:rPr>
          <w:color w:val="0E101A"/>
        </w:rPr>
      </w:pPr>
      <w:r w:rsidRPr="00BB4B6E">
        <w:rPr>
          <w:color w:val="0E101A"/>
        </w:rPr>
        <w:t>At 90</w:t>
      </w:r>
      <w:r w:rsidRPr="00BB4B6E">
        <w:rPr>
          <w:color w:val="0E101A"/>
          <w:vertAlign w:val="superscript"/>
        </w:rPr>
        <w:t>th</w:t>
      </w:r>
      <w:r w:rsidRPr="00BB4B6E">
        <w:rPr>
          <w:color w:val="0E101A"/>
        </w:rPr>
        <w:t xml:space="preserve"> day, the kales </w:t>
      </w:r>
      <w:r w:rsidRPr="00BB4B6E">
        <w:rPr>
          <w:bCs/>
          <w:color w:val="0E101A"/>
        </w:rPr>
        <w:t>(</w:t>
      </w:r>
      <w:r w:rsidRPr="00BB4B6E">
        <w:rPr>
          <w:bCs/>
          <w:i/>
          <w:iCs/>
          <w:color w:val="0E101A"/>
        </w:rPr>
        <w:t>Brassica oleracea acephala</w:t>
      </w:r>
      <w:r w:rsidRPr="00BB4B6E">
        <w:rPr>
          <w:bCs/>
          <w:color w:val="0E101A"/>
        </w:rPr>
        <w:t>)</w:t>
      </w:r>
      <w:r w:rsidRPr="00BB4B6E">
        <w:rPr>
          <w:color w:val="0E101A"/>
        </w:rPr>
        <w:t xml:space="preserve"> plants were uprooted, washed and oven-dried at 100 </w:t>
      </w:r>
      <w:r w:rsidRPr="00BB4B6E">
        <w:rPr>
          <w:color w:val="0E101A"/>
          <w:vertAlign w:val="superscript"/>
        </w:rPr>
        <w:t>0</w:t>
      </w:r>
      <w:r w:rsidRPr="00BB4B6E">
        <w:rPr>
          <w:color w:val="0E101A"/>
        </w:rPr>
        <w:t xml:space="preserve">C for 48 hours, and then the dry biomass was weighed in triplicates by beam balance to establish the dry weight (g). The dry weight results were recorded in respective tables. The experimental procedures were repeated with </w:t>
      </w:r>
      <w:r w:rsidRPr="00BB4B6E">
        <w:t xml:space="preserve">beans </w:t>
      </w:r>
      <w:r w:rsidRPr="00BB4B6E">
        <w:rPr>
          <w:color w:val="0E101A"/>
        </w:rPr>
        <w:t>(</w:t>
      </w:r>
      <w:r w:rsidRPr="00BB4B6E">
        <w:rPr>
          <w:rStyle w:val="Emphasis"/>
          <w:rFonts w:eastAsiaTheme="majorEastAsia"/>
          <w:color w:val="0E101A"/>
        </w:rPr>
        <w:t>P. Vulgaris L</w:t>
      </w:r>
      <w:r w:rsidRPr="00BB4B6E">
        <w:rPr>
          <w:color w:val="0E101A"/>
        </w:rPr>
        <w:t>.) and spinach (</w:t>
      </w:r>
      <w:r w:rsidRPr="00BB4B6E">
        <w:rPr>
          <w:rStyle w:val="Emphasis"/>
          <w:rFonts w:eastAsiaTheme="majorEastAsia"/>
          <w:color w:val="0E101A"/>
        </w:rPr>
        <w:t>Spinacia oleracea</w:t>
      </w:r>
      <w:r w:rsidRPr="00BB4B6E">
        <w:rPr>
          <w:color w:val="0E101A"/>
        </w:rPr>
        <w:t>).</w:t>
      </w:r>
    </w:p>
    <w:p w:rsidR="00F934C1" w:rsidRPr="00BB4B6E" w:rsidRDefault="00F934C1" w:rsidP="00F934C1">
      <w:pPr>
        <w:pStyle w:val="NormalWeb"/>
        <w:spacing w:before="0" w:beforeAutospacing="0" w:after="0" w:afterAutospacing="0" w:line="480" w:lineRule="auto"/>
      </w:pPr>
    </w:p>
    <w:p w:rsidR="00F934C1" w:rsidRPr="00BB4B6E" w:rsidRDefault="00F934C1" w:rsidP="00F934C1">
      <w:pPr>
        <w:pStyle w:val="Heading2"/>
      </w:pPr>
      <w:bookmarkStart w:id="111" w:name="_Toc144820042"/>
      <w:r w:rsidRPr="00BB4B6E">
        <w:t xml:space="preserve">3.8 </w:t>
      </w:r>
      <w:r w:rsidRPr="00B8137E">
        <w:t>Determination</w:t>
      </w:r>
      <w:r w:rsidRPr="00BB4B6E">
        <w:t xml:space="preserve"> of </w:t>
      </w:r>
      <w:r w:rsidRPr="00BB4B6E">
        <w:rPr>
          <w:rFonts w:eastAsiaTheme="minorEastAsia"/>
        </w:rPr>
        <w:t>Adsorption Capacity of Nanofertilizers</w:t>
      </w:r>
      <w:bookmarkEnd w:id="111"/>
    </w:p>
    <w:p w:rsidR="00F934C1" w:rsidRPr="00BB4B6E" w:rsidRDefault="00F934C1" w:rsidP="00F934C1">
      <w:pPr>
        <w:rPr>
          <w:color w:val="1A2B23"/>
        </w:rPr>
      </w:pPr>
      <w:r w:rsidRPr="00BB4B6E">
        <w:rPr>
          <w:color w:val="1A2B23"/>
        </w:rPr>
        <w:t>The eff</w:t>
      </w:r>
      <w:r w:rsidRPr="00BB4B6E">
        <w:rPr>
          <w:color w:val="382D26"/>
        </w:rPr>
        <w:t>e</w:t>
      </w:r>
      <w:r w:rsidRPr="00BB4B6E">
        <w:rPr>
          <w:color w:val="1A2B23"/>
        </w:rPr>
        <w:t>cts of various factors that affect adsorption was established such as  pH</w:t>
      </w:r>
      <w:r w:rsidRPr="00BB4B6E">
        <w:rPr>
          <w:color w:val="485954"/>
        </w:rPr>
        <w:t xml:space="preserve">, </w:t>
      </w:r>
      <w:r w:rsidRPr="00BB4B6E">
        <w:rPr>
          <w:color w:val="1A2B23"/>
        </w:rPr>
        <w:t>contact time</w:t>
      </w:r>
      <w:r w:rsidRPr="00BB4B6E">
        <w:rPr>
          <w:color w:val="485954"/>
        </w:rPr>
        <w:t xml:space="preserve">, </w:t>
      </w:r>
      <w:r w:rsidRPr="00BB4B6E">
        <w:rPr>
          <w:color w:val="1A2B23"/>
        </w:rPr>
        <w:t>in</w:t>
      </w:r>
      <w:r w:rsidRPr="00BB4B6E">
        <w:rPr>
          <w:color w:val="03140B"/>
        </w:rPr>
        <w:t>i</w:t>
      </w:r>
      <w:r w:rsidRPr="00BB4B6E">
        <w:rPr>
          <w:color w:val="1A2B23"/>
        </w:rPr>
        <w:t>t</w:t>
      </w:r>
      <w:r w:rsidRPr="00BB4B6E">
        <w:rPr>
          <w:color w:val="03140B"/>
        </w:rPr>
        <w:t>i</w:t>
      </w:r>
      <w:r w:rsidRPr="00BB4B6E">
        <w:rPr>
          <w:color w:val="1A2B23"/>
        </w:rPr>
        <w:t>al heavy metal ion concentration and adsorbent dosage o</w:t>
      </w:r>
      <w:r w:rsidRPr="00BB4B6E">
        <w:rPr>
          <w:color w:val="03140B"/>
        </w:rPr>
        <w:t>n</w:t>
      </w:r>
      <w:r w:rsidRPr="00BB4B6E">
        <w:rPr>
          <w:color w:val="1A2B23"/>
        </w:rPr>
        <w:t>to nano-fertilizers, were determined as descr</w:t>
      </w:r>
      <w:r w:rsidRPr="00BB4B6E">
        <w:rPr>
          <w:color w:val="03140B"/>
        </w:rPr>
        <w:t>i</w:t>
      </w:r>
      <w:r w:rsidRPr="00BB4B6E">
        <w:rPr>
          <w:color w:val="1A2B23"/>
        </w:rPr>
        <w:t xml:space="preserve">bed by Hameed </w:t>
      </w:r>
      <w:r w:rsidRPr="00BB4B6E">
        <w:rPr>
          <w:i/>
          <w:iCs/>
          <w:color w:val="1A2B23"/>
        </w:rPr>
        <w:t>et al</w:t>
      </w:r>
      <w:r w:rsidRPr="00BB4B6E">
        <w:rPr>
          <w:i/>
          <w:iCs/>
          <w:color w:val="03140B"/>
        </w:rPr>
        <w:t xml:space="preserve">. </w:t>
      </w:r>
      <w:r w:rsidRPr="00BB4B6E">
        <w:rPr>
          <w:iCs/>
          <w:color w:val="485954"/>
        </w:rPr>
        <w:t>(</w:t>
      </w:r>
      <w:r w:rsidRPr="00BB4B6E">
        <w:rPr>
          <w:color w:val="1A2B23"/>
        </w:rPr>
        <w:t>2017)</w:t>
      </w:r>
      <w:r>
        <w:rPr>
          <w:color w:val="03140B"/>
        </w:rPr>
        <w:t>.</w:t>
      </w:r>
    </w:p>
    <w:p w:rsidR="00F934C1" w:rsidRPr="00BB4B6E" w:rsidRDefault="00F934C1" w:rsidP="00F934C1">
      <w:pPr>
        <w:rPr>
          <w:b/>
          <w:color w:val="17271F"/>
        </w:rPr>
      </w:pPr>
    </w:p>
    <w:p w:rsidR="00F934C1" w:rsidRPr="00BB4B6E" w:rsidRDefault="00F934C1" w:rsidP="00F934C1">
      <w:pPr>
        <w:pStyle w:val="Heading3"/>
        <w:rPr>
          <w:rFonts w:cs="Times New Roman"/>
          <w:color w:val="auto"/>
        </w:rPr>
      </w:pPr>
      <w:bookmarkStart w:id="112" w:name="_Toc114763403"/>
      <w:bookmarkStart w:id="113" w:name="_Toc144820043"/>
      <w:r w:rsidRPr="00BB4B6E">
        <w:rPr>
          <w:rFonts w:cs="Times New Roman"/>
          <w:color w:val="auto"/>
        </w:rPr>
        <w:t xml:space="preserve">3.8.1 </w:t>
      </w:r>
      <w:r w:rsidRPr="00B8137E">
        <w:t>Effect</w:t>
      </w:r>
      <w:r>
        <w:t xml:space="preserve"> </w:t>
      </w:r>
      <w:r w:rsidRPr="00BB4B6E">
        <w:rPr>
          <w:color w:val="21332C"/>
        </w:rPr>
        <w:t>of pH o</w:t>
      </w:r>
      <w:r w:rsidRPr="00BB4B6E">
        <w:t>n Remov</w:t>
      </w:r>
      <w:r w:rsidRPr="00BB4B6E">
        <w:rPr>
          <w:color w:val="21332C"/>
        </w:rPr>
        <w:t>a</w:t>
      </w:r>
      <w:r w:rsidRPr="00BB4B6E">
        <w:t>l of M</w:t>
      </w:r>
      <w:r w:rsidRPr="00BB4B6E">
        <w:rPr>
          <w:color w:val="21332C"/>
        </w:rPr>
        <w:t>e</w:t>
      </w:r>
      <w:r w:rsidRPr="00BB4B6E">
        <w:t>t</w:t>
      </w:r>
      <w:r w:rsidRPr="00BB4B6E">
        <w:rPr>
          <w:color w:val="21332C"/>
        </w:rPr>
        <w:t>a</w:t>
      </w:r>
      <w:r w:rsidRPr="00BB4B6E">
        <w:t>l</w:t>
      </w:r>
      <w:bookmarkEnd w:id="112"/>
      <w:bookmarkEnd w:id="113"/>
    </w:p>
    <w:p w:rsidR="00F934C1" w:rsidRPr="00BB4B6E" w:rsidRDefault="00F934C1" w:rsidP="00F934C1">
      <w:r w:rsidRPr="00BB4B6E">
        <w:t>Effect of pH on removal of metal ions Cd</w:t>
      </w:r>
      <w:r w:rsidRPr="00BB4B6E">
        <w:rPr>
          <w:vertAlign w:val="superscript"/>
        </w:rPr>
        <w:t>2+</w:t>
      </w:r>
      <w:r w:rsidRPr="00BB4B6E">
        <w:t>and Pb</w:t>
      </w:r>
      <w:r w:rsidRPr="00BB4B6E">
        <w:rPr>
          <w:vertAlign w:val="superscript"/>
        </w:rPr>
        <w:t>2+</w:t>
      </w:r>
      <w:r w:rsidRPr="00BB4B6E">
        <w:t xml:space="preserve">was investigated at pH between 2 to 10 (Shah </w:t>
      </w:r>
      <w:r w:rsidRPr="00BB4B6E">
        <w:rPr>
          <w:i/>
          <w:iCs/>
        </w:rPr>
        <w:t xml:space="preserve">et al., </w:t>
      </w:r>
      <w:r w:rsidRPr="00BB4B6E">
        <w:t xml:space="preserve">2011). The pH was adjusted using 0.15 M nitric (V) acid and </w:t>
      </w:r>
      <w:r w:rsidRPr="00BB4B6E">
        <w:lastRenderedPageBreak/>
        <w:t>0.15 M sodium hydroxide solutions. A sample of 0.20 g of bone nHA and synthetic nHA was mixed with 50 mL of aqueous Cd</w:t>
      </w:r>
      <w:r w:rsidRPr="00BB4B6E">
        <w:rPr>
          <w:vertAlign w:val="superscript"/>
        </w:rPr>
        <w:t xml:space="preserve">2+ </w:t>
      </w:r>
      <w:r w:rsidRPr="00BB4B6E">
        <w:t>and Pb</w:t>
      </w:r>
      <w:r w:rsidRPr="00BB4B6E">
        <w:rPr>
          <w:vertAlign w:val="superscript"/>
        </w:rPr>
        <w:t>2+</w:t>
      </w:r>
      <w:r w:rsidRPr="00BB4B6E">
        <w:t>metal ion solutions conta</w:t>
      </w:r>
      <w:r>
        <w:t xml:space="preserve">ining 50 µg/g of test solution and </w:t>
      </w:r>
      <w:r w:rsidRPr="00BB4B6E">
        <w:t xml:space="preserve">buffered with 0.1 M sodium acetate (Banerjee </w:t>
      </w:r>
      <w:r w:rsidRPr="00BB4B6E">
        <w:rPr>
          <w:i/>
          <w:iCs/>
        </w:rPr>
        <w:t xml:space="preserve">et al., </w:t>
      </w:r>
      <w:r w:rsidRPr="00BB4B6E">
        <w:t>2019). The nano-fertilizers were stirred at a 1000 rpm for 2 hour, centrifuged, filtered and concentrations of Cd</w:t>
      </w:r>
      <w:r w:rsidRPr="00BB4B6E">
        <w:rPr>
          <w:vertAlign w:val="superscript"/>
        </w:rPr>
        <w:t>2+</w:t>
      </w:r>
      <w:r w:rsidRPr="00BB4B6E">
        <w:t>and Pb</w:t>
      </w:r>
      <w:r w:rsidRPr="00BB4B6E">
        <w:rPr>
          <w:vertAlign w:val="superscript"/>
        </w:rPr>
        <w:t>2+</w:t>
      </w:r>
      <w:r w:rsidRPr="00BB4B6E">
        <w:t xml:space="preserve">measured using AAS (Das </w:t>
      </w:r>
      <w:r w:rsidRPr="00BB4B6E">
        <w:rPr>
          <w:i/>
          <w:iCs/>
        </w:rPr>
        <w:t xml:space="preserve">et al., </w:t>
      </w:r>
      <w:r w:rsidRPr="00BB4B6E">
        <w:t>2012). Analysis was done in triplicates.</w:t>
      </w:r>
    </w:p>
    <w:p w:rsidR="00F934C1" w:rsidRPr="00BB4B6E" w:rsidRDefault="00F934C1" w:rsidP="00F934C1"/>
    <w:p w:rsidR="00F934C1" w:rsidRPr="00BB4B6E" w:rsidRDefault="00F934C1" w:rsidP="00F934C1">
      <w:pPr>
        <w:pStyle w:val="Heading3"/>
      </w:pPr>
      <w:bookmarkStart w:id="114" w:name="_Toc114763404"/>
      <w:bookmarkStart w:id="115" w:name="_Toc144820044"/>
      <w:r w:rsidRPr="00BB4B6E">
        <w:t xml:space="preserve">3.8.2 </w:t>
      </w:r>
      <w:r w:rsidRPr="00440801">
        <w:t>Effect</w:t>
      </w:r>
      <w:r w:rsidRPr="00BB4B6E">
        <w:t xml:space="preserve"> of Initial Metal Concentration </w:t>
      </w:r>
      <w:r w:rsidRPr="00BB4B6E">
        <w:rPr>
          <w:color w:val="21332C"/>
        </w:rPr>
        <w:t>o</w:t>
      </w:r>
      <w:r w:rsidRPr="00BB4B6E">
        <w:rPr>
          <w:color w:val="081911"/>
        </w:rPr>
        <w:t>n Remov</w:t>
      </w:r>
      <w:r w:rsidRPr="00BB4B6E">
        <w:rPr>
          <w:color w:val="21332C"/>
        </w:rPr>
        <w:t>a</w:t>
      </w:r>
      <w:r w:rsidRPr="00BB4B6E">
        <w:rPr>
          <w:color w:val="081911"/>
        </w:rPr>
        <w:t>l of M</w:t>
      </w:r>
      <w:r w:rsidRPr="00BB4B6E">
        <w:rPr>
          <w:color w:val="21332C"/>
        </w:rPr>
        <w:t>e</w:t>
      </w:r>
      <w:r w:rsidRPr="00BB4B6E">
        <w:rPr>
          <w:color w:val="081911"/>
        </w:rPr>
        <w:t>t</w:t>
      </w:r>
      <w:r w:rsidRPr="00BB4B6E">
        <w:rPr>
          <w:color w:val="21332C"/>
        </w:rPr>
        <w:t>a</w:t>
      </w:r>
      <w:r w:rsidRPr="00BB4B6E">
        <w:rPr>
          <w:color w:val="081911"/>
        </w:rPr>
        <w:t>l</w:t>
      </w:r>
      <w:bookmarkEnd w:id="114"/>
      <w:bookmarkEnd w:id="115"/>
    </w:p>
    <w:p w:rsidR="00F934C1" w:rsidRPr="00BB4B6E" w:rsidRDefault="00F934C1" w:rsidP="00F934C1">
      <w:r w:rsidRPr="00BB4B6E">
        <w:t>Effect of Cd</w:t>
      </w:r>
      <w:r w:rsidRPr="00BB4B6E">
        <w:rPr>
          <w:vertAlign w:val="superscript"/>
        </w:rPr>
        <w:t xml:space="preserve">2+ </w:t>
      </w:r>
      <w:r w:rsidRPr="00BB4B6E">
        <w:t>and Pb</w:t>
      </w:r>
      <w:r w:rsidRPr="00BB4B6E">
        <w:rPr>
          <w:vertAlign w:val="superscript"/>
        </w:rPr>
        <w:t xml:space="preserve">2+ </w:t>
      </w:r>
      <w:r w:rsidRPr="00BB4B6E">
        <w:t>initial metal concentration was established by spiking 0.20 g of bone nHA and synthetic nHA to 50 ml of the Cd</w:t>
      </w:r>
      <w:r w:rsidRPr="00BB4B6E">
        <w:rPr>
          <w:vertAlign w:val="superscript"/>
        </w:rPr>
        <w:t>2+</w:t>
      </w:r>
      <w:r w:rsidRPr="00BB4B6E">
        <w:t>and Pb</w:t>
      </w:r>
      <w:r w:rsidRPr="00BB4B6E">
        <w:rPr>
          <w:vertAlign w:val="superscript"/>
        </w:rPr>
        <w:t xml:space="preserve">2+ </w:t>
      </w:r>
      <w:r w:rsidRPr="00BB4B6E">
        <w:t>respective</w:t>
      </w:r>
      <w:r>
        <w:t xml:space="preserve"> </w:t>
      </w:r>
      <w:r w:rsidRPr="00BB4B6E">
        <w:t xml:space="preserve">metal ion solutions of between (5 - 100) µg/g buffered at optimum pH of each metal (Banerjee </w:t>
      </w:r>
      <w:r w:rsidRPr="00BB4B6E">
        <w:rPr>
          <w:i/>
          <w:iCs/>
        </w:rPr>
        <w:t xml:space="preserve">et al., </w:t>
      </w:r>
      <w:r w:rsidRPr="00BB4B6E">
        <w:t>2019). The resultant mixture was stirred at 1000 rpm for 2 h, filtered and then concentrations levels of Cd</w:t>
      </w:r>
      <w:r w:rsidRPr="00BB4B6E">
        <w:rPr>
          <w:vertAlign w:val="superscript"/>
        </w:rPr>
        <w:t>2+</w:t>
      </w:r>
      <w:r w:rsidRPr="00BB4B6E">
        <w:t>and Pb</w:t>
      </w:r>
      <w:r w:rsidRPr="00BB4B6E">
        <w:rPr>
          <w:vertAlign w:val="superscript"/>
        </w:rPr>
        <w:t>2+</w:t>
      </w:r>
      <w:r w:rsidRPr="00BB4B6E">
        <w:t xml:space="preserve">were determined using AAS. All experiments were done in triplicates (Singh </w:t>
      </w:r>
      <w:r w:rsidRPr="00BB4B6E">
        <w:rPr>
          <w:i/>
          <w:iCs/>
        </w:rPr>
        <w:t xml:space="preserve">et al., </w:t>
      </w:r>
      <w:r w:rsidRPr="00BB4B6E">
        <w:t>2018).</w:t>
      </w:r>
    </w:p>
    <w:p w:rsidR="00F934C1" w:rsidRPr="00BB4B6E" w:rsidRDefault="00F934C1" w:rsidP="00F934C1">
      <w:pPr>
        <w:rPr>
          <w:color w:val="17271F"/>
        </w:rPr>
      </w:pPr>
    </w:p>
    <w:p w:rsidR="00F934C1" w:rsidRPr="00BB4B6E" w:rsidRDefault="00F934C1" w:rsidP="00F934C1">
      <w:pPr>
        <w:pStyle w:val="Heading3"/>
        <w:spacing w:before="0"/>
        <w:rPr>
          <w:rFonts w:cs="Times New Roman"/>
          <w:color w:val="auto"/>
        </w:rPr>
      </w:pPr>
      <w:bookmarkStart w:id="116" w:name="_Toc114763405"/>
      <w:bookmarkStart w:id="117" w:name="_Toc144820045"/>
      <w:r w:rsidRPr="00BB4B6E">
        <w:rPr>
          <w:rFonts w:cs="Times New Roman"/>
          <w:color w:val="auto"/>
        </w:rPr>
        <w:t xml:space="preserve">3.8.3 Effect of Contact Time </w:t>
      </w:r>
      <w:r w:rsidRPr="00BB4B6E">
        <w:rPr>
          <w:color w:val="21332C"/>
        </w:rPr>
        <w:t>o</w:t>
      </w:r>
      <w:r w:rsidRPr="00BB4B6E">
        <w:rPr>
          <w:color w:val="081911"/>
        </w:rPr>
        <w:t>n Remov</w:t>
      </w:r>
      <w:r w:rsidRPr="00BB4B6E">
        <w:rPr>
          <w:color w:val="21332C"/>
        </w:rPr>
        <w:t>a</w:t>
      </w:r>
      <w:r w:rsidRPr="00BB4B6E">
        <w:rPr>
          <w:color w:val="081911"/>
        </w:rPr>
        <w:t>l of M</w:t>
      </w:r>
      <w:r w:rsidRPr="00BB4B6E">
        <w:rPr>
          <w:color w:val="21332C"/>
        </w:rPr>
        <w:t>e</w:t>
      </w:r>
      <w:r w:rsidRPr="00BB4B6E">
        <w:rPr>
          <w:color w:val="081911"/>
        </w:rPr>
        <w:t>t</w:t>
      </w:r>
      <w:r w:rsidRPr="00BB4B6E">
        <w:rPr>
          <w:color w:val="21332C"/>
        </w:rPr>
        <w:t>a</w:t>
      </w:r>
      <w:r w:rsidRPr="00BB4B6E">
        <w:rPr>
          <w:color w:val="081911"/>
        </w:rPr>
        <w:t>l</w:t>
      </w:r>
      <w:bookmarkEnd w:id="116"/>
      <w:bookmarkEnd w:id="117"/>
    </w:p>
    <w:p w:rsidR="00F934C1" w:rsidRPr="00BB4B6E" w:rsidRDefault="00F934C1" w:rsidP="00F934C1">
      <w:r w:rsidRPr="00BB4B6E">
        <w:t>The rate of metal Cd</w:t>
      </w:r>
      <w:r w:rsidRPr="00BB4B6E">
        <w:rPr>
          <w:vertAlign w:val="superscript"/>
        </w:rPr>
        <w:t>2+</w:t>
      </w:r>
      <w:r w:rsidRPr="00BB4B6E">
        <w:t>and Pb</w:t>
      </w:r>
      <w:r w:rsidRPr="00BB4B6E">
        <w:rPr>
          <w:vertAlign w:val="superscript"/>
        </w:rPr>
        <w:t>2+</w:t>
      </w:r>
      <w:r w:rsidRPr="00BB4B6E">
        <w:t>adsorption was studied by spiking 0.20 g of bone nHA and synthetic nHA to 50 ml of Cd</w:t>
      </w:r>
      <w:r w:rsidRPr="00BB4B6E">
        <w:rPr>
          <w:vertAlign w:val="superscript"/>
        </w:rPr>
        <w:t>2+</w:t>
      </w:r>
      <w:r w:rsidRPr="00BB4B6E">
        <w:t>and Pb</w:t>
      </w:r>
      <w:r w:rsidRPr="00BB4B6E">
        <w:rPr>
          <w:vertAlign w:val="superscript"/>
        </w:rPr>
        <w:t xml:space="preserve">2+ </w:t>
      </w:r>
      <w:r w:rsidRPr="00BB4B6E">
        <w:t xml:space="preserve">respective metal ion solution of 50 µg/g buffered at optimum pH of each metal ion using sodium acetate (Hameed </w:t>
      </w:r>
      <w:r w:rsidRPr="00BB4B6E">
        <w:rPr>
          <w:i/>
          <w:iCs/>
        </w:rPr>
        <w:t xml:space="preserve">et al., </w:t>
      </w:r>
      <w:r w:rsidRPr="00BB4B6E">
        <w:t xml:space="preserve">2013). The mixtures were equilibrated for predetermined time of 5 - 240 minutes in bottles on a shaker at 1000 rpm done in triplicates (Wu </w:t>
      </w:r>
      <w:r w:rsidRPr="00BB4B6E">
        <w:rPr>
          <w:i/>
          <w:iCs/>
        </w:rPr>
        <w:t xml:space="preserve">et al., </w:t>
      </w:r>
      <w:r w:rsidRPr="00BB4B6E">
        <w:t>2012). The solutions were then centrifuged and the filtrates subjected to AAS to determine Cd</w:t>
      </w:r>
      <w:r w:rsidRPr="00BB4B6E">
        <w:rPr>
          <w:vertAlign w:val="superscript"/>
        </w:rPr>
        <w:t xml:space="preserve">2+ </w:t>
      </w:r>
      <w:r w:rsidRPr="00BB4B6E">
        <w:t>and Pb</w:t>
      </w:r>
      <w:r w:rsidRPr="00BB4B6E">
        <w:rPr>
          <w:vertAlign w:val="superscript"/>
        </w:rPr>
        <w:t xml:space="preserve">2+ </w:t>
      </w:r>
      <w:r w:rsidRPr="00BB4B6E">
        <w:t>heavy metal concentration.</w:t>
      </w:r>
    </w:p>
    <w:p w:rsidR="00F934C1" w:rsidRPr="00BB4B6E" w:rsidRDefault="00F934C1" w:rsidP="00F934C1">
      <w:pPr>
        <w:rPr>
          <w:color w:val="17271F"/>
        </w:rPr>
      </w:pPr>
    </w:p>
    <w:p w:rsidR="00F934C1" w:rsidRPr="00BB4B6E" w:rsidRDefault="00F934C1" w:rsidP="00F934C1">
      <w:pPr>
        <w:pStyle w:val="Heading3"/>
        <w:spacing w:before="0"/>
        <w:rPr>
          <w:rFonts w:cs="Times New Roman"/>
          <w:color w:val="auto"/>
        </w:rPr>
      </w:pPr>
      <w:bookmarkStart w:id="118" w:name="_Toc114763406"/>
      <w:bookmarkStart w:id="119" w:name="_Toc144820046"/>
      <w:r w:rsidRPr="00BB4B6E">
        <w:rPr>
          <w:rFonts w:cs="Times New Roman"/>
          <w:color w:val="auto"/>
        </w:rPr>
        <w:lastRenderedPageBreak/>
        <w:t xml:space="preserve">3.8.4 Effect of Adsorbent Dosage </w:t>
      </w:r>
      <w:r w:rsidRPr="00BB4B6E">
        <w:rPr>
          <w:rFonts w:cs="Times New Roman"/>
          <w:color w:val="21332C"/>
        </w:rPr>
        <w:t>o</w:t>
      </w:r>
      <w:r w:rsidRPr="00BB4B6E">
        <w:rPr>
          <w:rFonts w:cs="Times New Roman"/>
          <w:color w:val="081911"/>
        </w:rPr>
        <w:t>n Remov</w:t>
      </w:r>
      <w:r w:rsidRPr="00BB4B6E">
        <w:rPr>
          <w:rFonts w:cs="Times New Roman"/>
          <w:color w:val="21332C"/>
        </w:rPr>
        <w:t>a</w:t>
      </w:r>
      <w:r w:rsidRPr="00BB4B6E">
        <w:rPr>
          <w:rFonts w:cs="Times New Roman"/>
          <w:color w:val="081911"/>
        </w:rPr>
        <w:t>l of M</w:t>
      </w:r>
      <w:r w:rsidRPr="00BB4B6E">
        <w:rPr>
          <w:rFonts w:cs="Times New Roman"/>
          <w:color w:val="21332C"/>
        </w:rPr>
        <w:t>e</w:t>
      </w:r>
      <w:r w:rsidRPr="00BB4B6E">
        <w:rPr>
          <w:rFonts w:cs="Times New Roman"/>
          <w:color w:val="081911"/>
        </w:rPr>
        <w:t>t</w:t>
      </w:r>
      <w:r w:rsidRPr="00BB4B6E">
        <w:rPr>
          <w:rFonts w:cs="Times New Roman"/>
          <w:color w:val="21332C"/>
        </w:rPr>
        <w:t>a</w:t>
      </w:r>
      <w:r w:rsidRPr="00BB4B6E">
        <w:rPr>
          <w:rFonts w:cs="Times New Roman"/>
          <w:color w:val="081911"/>
        </w:rPr>
        <w:t>l</w:t>
      </w:r>
      <w:bookmarkEnd w:id="118"/>
      <w:bookmarkEnd w:id="119"/>
    </w:p>
    <w:p w:rsidR="00F934C1" w:rsidRPr="00BB4B6E" w:rsidRDefault="00F934C1" w:rsidP="00F934C1">
      <w:r w:rsidRPr="00BB4B6E">
        <w:t>The effect of dosage of bone nHA and synthetic nHA adsorbents on Cd</w:t>
      </w:r>
      <w:r w:rsidRPr="00BB4B6E">
        <w:rPr>
          <w:vertAlign w:val="superscript"/>
        </w:rPr>
        <w:t>2+</w:t>
      </w:r>
      <w:r w:rsidRPr="00BB4B6E">
        <w:t>and Pb</w:t>
      </w:r>
      <w:r w:rsidRPr="00BB4B6E">
        <w:rPr>
          <w:vertAlign w:val="superscript"/>
        </w:rPr>
        <w:t>2+</w:t>
      </w:r>
      <w:r w:rsidRPr="00BB4B6E">
        <w:t xml:space="preserve">adsorption was established by varying the quantity of each nanofertilizer (0.05-1.0 g) in the test solution of 50 µg/g buffered at optimum pH of each metal using sodium acetate and then keeping the initial concentration, pH, and contact time constant (Bertazzo </w:t>
      </w:r>
      <w:r w:rsidRPr="00BB4B6E">
        <w:rPr>
          <w:i/>
          <w:iCs/>
        </w:rPr>
        <w:t xml:space="preserve">et al., </w:t>
      </w:r>
      <w:r w:rsidRPr="00BB4B6E">
        <w:t>2010). The Cd</w:t>
      </w:r>
      <w:r w:rsidRPr="00BB4B6E">
        <w:rPr>
          <w:vertAlign w:val="superscript"/>
        </w:rPr>
        <w:t>2+</w:t>
      </w:r>
      <w:r w:rsidRPr="00BB4B6E">
        <w:t>and Pb</w:t>
      </w:r>
      <w:r w:rsidRPr="00BB4B6E">
        <w:rPr>
          <w:vertAlign w:val="superscript"/>
        </w:rPr>
        <w:t xml:space="preserve">2+ </w:t>
      </w:r>
      <w:r w:rsidRPr="00BB4B6E">
        <w:t>ions solutions were adjusted to pH 6 for Cd</w:t>
      </w:r>
      <w:r w:rsidRPr="00BB4B6E">
        <w:rPr>
          <w:vertAlign w:val="superscript"/>
        </w:rPr>
        <w:t>2+</w:t>
      </w:r>
      <w:r w:rsidRPr="00BB4B6E">
        <w:t xml:space="preserve"> and pH 5 for Pb</w:t>
      </w:r>
      <w:r w:rsidRPr="00BB4B6E">
        <w:rPr>
          <w:vertAlign w:val="superscript"/>
        </w:rPr>
        <w:t>2+</w:t>
      </w:r>
      <w:r w:rsidRPr="00BB4B6E">
        <w:t xml:space="preserve"> analysis respectively. The triplicate experiments were conducted and stirred by water bath shaker for 2 hours in plastic bottles at 1000 rpm (Benerjee </w:t>
      </w:r>
      <w:r w:rsidRPr="00BB4B6E">
        <w:rPr>
          <w:i/>
          <w:iCs/>
        </w:rPr>
        <w:t xml:space="preserve">et al., </w:t>
      </w:r>
      <w:r w:rsidRPr="00BB4B6E">
        <w:t>2012). At the end of optimal 2 hour contact time, the nano-fertilizers were centrifuged, decanted and filtered. The concentrations of Cd</w:t>
      </w:r>
      <w:r w:rsidRPr="00BB4B6E">
        <w:rPr>
          <w:vertAlign w:val="superscript"/>
        </w:rPr>
        <w:t>2+</w:t>
      </w:r>
      <w:r w:rsidRPr="00BB4B6E">
        <w:t>and Pb</w:t>
      </w:r>
      <w:r w:rsidRPr="00BB4B6E">
        <w:rPr>
          <w:vertAlign w:val="superscript"/>
        </w:rPr>
        <w:t xml:space="preserve">2+ </w:t>
      </w:r>
      <w:r w:rsidRPr="00BB4B6E">
        <w:t>ions were measured using AAS.</w:t>
      </w:r>
    </w:p>
    <w:p w:rsidR="00F934C1" w:rsidRPr="00BB4B6E" w:rsidRDefault="00F934C1" w:rsidP="00F934C1">
      <w:pPr>
        <w:rPr>
          <w:b/>
        </w:rPr>
      </w:pPr>
    </w:p>
    <w:p w:rsidR="00F934C1" w:rsidRPr="00BB4B6E" w:rsidRDefault="00F934C1" w:rsidP="00F934C1">
      <w:pPr>
        <w:pStyle w:val="Heading2"/>
        <w:spacing w:before="0"/>
        <w:rPr>
          <w:rFonts w:cs="Times New Roman"/>
          <w:color w:val="auto"/>
          <w:szCs w:val="24"/>
        </w:rPr>
      </w:pPr>
      <w:bookmarkStart w:id="120" w:name="_Toc114763407"/>
      <w:bookmarkStart w:id="121" w:name="_Toc144820047"/>
      <w:r w:rsidRPr="00BB4B6E">
        <w:rPr>
          <w:rFonts w:cs="Times New Roman"/>
          <w:color w:val="auto"/>
          <w:szCs w:val="24"/>
        </w:rPr>
        <w:t>3.9 Adsorption and Kinetic Studies</w:t>
      </w:r>
      <w:bookmarkEnd w:id="120"/>
      <w:bookmarkEnd w:id="121"/>
    </w:p>
    <w:p w:rsidR="00F934C1" w:rsidRPr="00BB4B6E" w:rsidRDefault="00F934C1" w:rsidP="00F934C1">
      <w:pPr>
        <w:pStyle w:val="NormalWeb"/>
        <w:spacing w:before="0" w:beforeAutospacing="0" w:after="0" w:afterAutospacing="0" w:line="480" w:lineRule="auto"/>
        <w:rPr>
          <w:color w:val="0E101A"/>
        </w:rPr>
      </w:pPr>
      <w:r w:rsidRPr="00BB4B6E">
        <w:rPr>
          <w:color w:val="0E101A"/>
        </w:rPr>
        <w:t>Appli</w:t>
      </w:r>
      <w:r>
        <w:rPr>
          <w:color w:val="0E101A"/>
        </w:rPr>
        <w:t>cations of the rate equations (E</w:t>
      </w:r>
      <w:r w:rsidRPr="00BB4B6E">
        <w:rPr>
          <w:color w:val="0E101A"/>
        </w:rPr>
        <w:t>quations 2.4 and 2.5) for describing the kinetics mechanism were studied at optimized conditions for Cd</w:t>
      </w:r>
      <w:r w:rsidRPr="00BB4B6E">
        <w:rPr>
          <w:color w:val="0E101A"/>
          <w:vertAlign w:val="superscript"/>
        </w:rPr>
        <w:t>2+</w:t>
      </w:r>
      <w:r w:rsidRPr="00BB4B6E">
        <w:rPr>
          <w:color w:val="0E101A"/>
        </w:rPr>
        <w:t xml:space="preserve"> and Pb</w:t>
      </w:r>
      <w:r w:rsidRPr="00BB4B6E">
        <w:rPr>
          <w:color w:val="0E101A"/>
          <w:vertAlign w:val="superscript"/>
        </w:rPr>
        <w:t>2+</w:t>
      </w:r>
      <w:r w:rsidRPr="00BB4B6E">
        <w:rPr>
          <w:color w:val="0E101A"/>
        </w:rPr>
        <w:t xml:space="preserve"> of initial concentration between 5 to 60 µg/g in triplicates (</w:t>
      </w:r>
      <w:r w:rsidRPr="00BB4B6E">
        <w:rPr>
          <w:color w:val="1A2B23"/>
        </w:rPr>
        <w:t xml:space="preserve">Wang </w:t>
      </w:r>
      <w:r w:rsidRPr="00BB4B6E">
        <w:rPr>
          <w:i/>
          <w:iCs/>
          <w:color w:val="2F423B"/>
        </w:rPr>
        <w:t>e</w:t>
      </w:r>
      <w:r w:rsidRPr="00BB4B6E">
        <w:rPr>
          <w:i/>
          <w:iCs/>
          <w:color w:val="1A2B23"/>
        </w:rPr>
        <w:t xml:space="preserve">t </w:t>
      </w:r>
      <w:r w:rsidRPr="00BB4B6E">
        <w:rPr>
          <w:i/>
          <w:iCs/>
          <w:color w:val="2F423B"/>
        </w:rPr>
        <w:t>a</w:t>
      </w:r>
      <w:r w:rsidRPr="00BB4B6E">
        <w:rPr>
          <w:i/>
          <w:iCs/>
          <w:color w:val="1A2B23"/>
        </w:rPr>
        <w:t>l.</w:t>
      </w:r>
      <w:r w:rsidRPr="00BB4B6E">
        <w:rPr>
          <w:i/>
          <w:iCs/>
          <w:color w:val="2F423B"/>
        </w:rPr>
        <w:t xml:space="preserve">, </w:t>
      </w:r>
      <w:r w:rsidRPr="00BB4B6E">
        <w:rPr>
          <w:color w:val="2F423B"/>
        </w:rPr>
        <w:t>2</w:t>
      </w:r>
      <w:r w:rsidRPr="00BB4B6E">
        <w:rPr>
          <w:color w:val="1A2B23"/>
        </w:rPr>
        <w:t>016</w:t>
      </w:r>
      <w:r w:rsidRPr="00BB4B6E">
        <w:rPr>
          <w:color w:val="0E101A"/>
        </w:rPr>
        <w:t xml:space="preserve">). For these studies, 50 ml test solution at 25±0.5 °C, pH 6 in synthetic and bone nano-fertilizer adsorbents were put in a mechanical shaker and agitated between 10 minutes to 3 hours </w:t>
      </w:r>
      <w:r w:rsidRPr="00BB4B6E">
        <w:rPr>
          <w:color w:val="21332C"/>
        </w:rPr>
        <w:t>(</w:t>
      </w:r>
      <w:r w:rsidRPr="00BB4B6E">
        <w:rPr>
          <w:color w:val="1A2B23"/>
        </w:rPr>
        <w:t xml:space="preserve">Zhangwei </w:t>
      </w:r>
      <w:r w:rsidRPr="00BB4B6E">
        <w:rPr>
          <w:i/>
          <w:iCs/>
          <w:color w:val="2F423B"/>
        </w:rPr>
        <w:t>e</w:t>
      </w:r>
      <w:r w:rsidRPr="00BB4B6E">
        <w:rPr>
          <w:i/>
          <w:iCs/>
          <w:color w:val="1A2B23"/>
        </w:rPr>
        <w:t xml:space="preserve">t </w:t>
      </w:r>
      <w:r w:rsidRPr="00BB4B6E">
        <w:rPr>
          <w:i/>
          <w:iCs/>
          <w:color w:val="2F423B"/>
        </w:rPr>
        <w:t>a</w:t>
      </w:r>
      <w:r w:rsidRPr="00BB4B6E">
        <w:rPr>
          <w:i/>
          <w:iCs/>
          <w:color w:val="1A2B23"/>
        </w:rPr>
        <w:t>l.</w:t>
      </w:r>
      <w:r w:rsidRPr="00BB4B6E">
        <w:rPr>
          <w:i/>
          <w:iCs/>
          <w:color w:val="2F423B"/>
        </w:rPr>
        <w:t xml:space="preserve">, </w:t>
      </w:r>
      <w:r w:rsidRPr="00BB4B6E">
        <w:rPr>
          <w:color w:val="2F423B"/>
        </w:rPr>
        <w:t>2</w:t>
      </w:r>
      <w:r w:rsidRPr="00BB4B6E">
        <w:rPr>
          <w:color w:val="1A2B23"/>
        </w:rPr>
        <w:t xml:space="preserve">019; Benerjee </w:t>
      </w:r>
      <w:r w:rsidRPr="00BB4B6E">
        <w:rPr>
          <w:i/>
          <w:iCs/>
          <w:color w:val="2F423B"/>
        </w:rPr>
        <w:t>e</w:t>
      </w:r>
      <w:r w:rsidRPr="00BB4B6E">
        <w:rPr>
          <w:i/>
          <w:iCs/>
          <w:color w:val="1A2B23"/>
        </w:rPr>
        <w:t xml:space="preserve">t </w:t>
      </w:r>
      <w:r w:rsidRPr="00BB4B6E">
        <w:rPr>
          <w:i/>
          <w:iCs/>
          <w:color w:val="2F423B"/>
        </w:rPr>
        <w:t>a</w:t>
      </w:r>
      <w:r w:rsidRPr="00BB4B6E">
        <w:rPr>
          <w:i/>
          <w:iCs/>
          <w:color w:val="1A2B23"/>
        </w:rPr>
        <w:t>l.</w:t>
      </w:r>
      <w:r w:rsidRPr="00BB4B6E">
        <w:rPr>
          <w:i/>
          <w:iCs/>
          <w:color w:val="2F423B"/>
        </w:rPr>
        <w:t xml:space="preserve">, </w:t>
      </w:r>
      <w:r w:rsidRPr="00BB4B6E">
        <w:rPr>
          <w:color w:val="2F423B"/>
        </w:rPr>
        <w:t>2</w:t>
      </w:r>
      <w:r w:rsidRPr="00BB4B6E">
        <w:rPr>
          <w:color w:val="1A2B23"/>
        </w:rPr>
        <w:t>012</w:t>
      </w:r>
      <w:r w:rsidRPr="00BB4B6E">
        <w:rPr>
          <w:color w:val="21332C"/>
        </w:rPr>
        <w:t>)</w:t>
      </w:r>
      <w:r w:rsidRPr="00BB4B6E">
        <w:rPr>
          <w:color w:val="0E101A"/>
        </w:rPr>
        <w:t>. After 2 hours, 20 ml of the solution were removed, filtrated and measured for Cd</w:t>
      </w:r>
      <w:r w:rsidRPr="00BB4B6E">
        <w:rPr>
          <w:color w:val="0E101A"/>
          <w:vertAlign w:val="superscript"/>
        </w:rPr>
        <w:t>2</w:t>
      </w:r>
      <w:r w:rsidRPr="00BB4B6E">
        <w:rPr>
          <w:color w:val="0E101A"/>
        </w:rPr>
        <w:t xml:space="preserve"> and Pb</w:t>
      </w:r>
      <w:r w:rsidRPr="00BB4B6E">
        <w:rPr>
          <w:color w:val="0E101A"/>
          <w:vertAlign w:val="superscript"/>
        </w:rPr>
        <w:t>2+</w:t>
      </w:r>
      <w:r w:rsidRPr="00BB4B6E">
        <w:rPr>
          <w:color w:val="0E101A"/>
        </w:rPr>
        <w:t xml:space="preserve"> of equilibrium concentration. The amount adsorbed at equilibrium within 2 hours optimal time was calculated </w:t>
      </w:r>
      <w:r>
        <w:rPr>
          <w:color w:val="0E101A"/>
        </w:rPr>
        <w:t>by Equation 2.2 (Langmuir) and E</w:t>
      </w:r>
      <w:r w:rsidRPr="00BB4B6E">
        <w:rPr>
          <w:color w:val="0E101A"/>
        </w:rPr>
        <w:t>quation 2.3 (Freundlich isotherm).</w:t>
      </w:r>
    </w:p>
    <w:p w:rsidR="00F934C1" w:rsidRPr="00BB4B6E" w:rsidRDefault="00F934C1" w:rsidP="00F934C1">
      <w:pPr>
        <w:rPr>
          <w:rFonts w:eastAsiaTheme="minorEastAsia"/>
        </w:rPr>
      </w:pPr>
    </w:p>
    <w:p w:rsidR="00F934C1" w:rsidRPr="00BB4B6E" w:rsidRDefault="00F934C1" w:rsidP="00F934C1">
      <w:pPr>
        <w:pStyle w:val="Heading2"/>
        <w:spacing w:before="0"/>
        <w:rPr>
          <w:rFonts w:cs="Times New Roman"/>
          <w:szCs w:val="24"/>
        </w:rPr>
      </w:pPr>
      <w:bookmarkStart w:id="122" w:name="_Toc144820048"/>
      <w:r w:rsidRPr="00BB4B6E">
        <w:rPr>
          <w:rFonts w:eastAsiaTheme="minorEastAsia" w:cs="Times New Roman"/>
          <w:szCs w:val="24"/>
        </w:rPr>
        <w:lastRenderedPageBreak/>
        <w:t xml:space="preserve">3.10 </w:t>
      </w:r>
      <w:r w:rsidRPr="00BB4B6E">
        <w:rPr>
          <w:rFonts w:cs="Times New Roman"/>
          <w:szCs w:val="24"/>
        </w:rPr>
        <w:t>Nutrients Release Levels by Nano-fertilizers</w:t>
      </w:r>
      <w:bookmarkEnd w:id="122"/>
    </w:p>
    <w:p w:rsidR="00F934C1" w:rsidRDefault="00F934C1" w:rsidP="00F934C1">
      <w:pPr>
        <w:rPr>
          <w:color w:val="0E101A"/>
        </w:rPr>
      </w:pPr>
      <w:r w:rsidRPr="00BB4B6E">
        <w:rPr>
          <w:color w:val="000000" w:themeColor="text1"/>
        </w:rPr>
        <w:t xml:space="preserve">The nutrient release rates were performed for bone nHA and synthetic nHA nanofertilizer and their combinations as described by Nilwala </w:t>
      </w:r>
      <w:r w:rsidRPr="00BB4B6E">
        <w:rPr>
          <w:i/>
          <w:color w:val="000000" w:themeColor="text1"/>
        </w:rPr>
        <w:t>et al</w:t>
      </w:r>
      <w:r w:rsidRPr="00BB4B6E">
        <w:rPr>
          <w:color w:val="000000" w:themeColor="text1"/>
        </w:rPr>
        <w:t xml:space="preserve">. (2011) to determine the releasing pattern of nutrients. </w:t>
      </w:r>
      <w:r w:rsidRPr="00BB4B6E">
        <w:rPr>
          <w:color w:val="0E101A"/>
        </w:rPr>
        <w:t xml:space="preserve">Triplicate samples of soil each weighing </w:t>
      </w:r>
      <w:r w:rsidRPr="00BB4B6E">
        <w:rPr>
          <w:rFonts w:eastAsiaTheme="minorEastAsia"/>
          <w:color w:val="000000" w:themeColor="text1"/>
        </w:rPr>
        <w:t xml:space="preserve">400 g </w:t>
      </w:r>
      <w:r w:rsidRPr="00BB4B6E">
        <w:rPr>
          <w:color w:val="0E101A"/>
        </w:rPr>
        <w:t xml:space="preserve">was obtained from the Cd/Pb contaminated experimental soil. The samples were mixed thoroughly with 40 g of </w:t>
      </w:r>
      <w:r w:rsidRPr="00BB4B6E">
        <w:rPr>
          <w:color w:val="000000" w:themeColor="text1"/>
        </w:rPr>
        <w:t xml:space="preserve">bone nHA nanofertilizer </w:t>
      </w:r>
      <w:r w:rsidRPr="00BB4B6E">
        <w:rPr>
          <w:color w:val="0E101A"/>
        </w:rPr>
        <w:t xml:space="preserve">for homogeneity. </w:t>
      </w:r>
      <w:r w:rsidRPr="00BB4B6E">
        <w:rPr>
          <w:rFonts w:eastAsiaTheme="minorEastAsia"/>
          <w:color w:val="000000" w:themeColor="text1"/>
        </w:rPr>
        <w:t>The samples were placed into separate 500 ml separatory funnel columns that were saturated with distilled water to</w:t>
      </w:r>
      <w:r w:rsidRPr="00BB4B6E">
        <w:rPr>
          <w:color w:val="0E101A"/>
        </w:rPr>
        <w:t xml:space="preserve"> reach 85 % soil-water saturation point. The columns were allowed to elute as described by Nilwala </w:t>
      </w:r>
      <w:r w:rsidRPr="00BB4B6E">
        <w:rPr>
          <w:i/>
          <w:color w:val="0E101A"/>
        </w:rPr>
        <w:t>et al</w:t>
      </w:r>
      <w:r w:rsidRPr="00BB4B6E">
        <w:rPr>
          <w:color w:val="0E101A"/>
        </w:rPr>
        <w:t>., (2011) using a controlled tap at a rate of 5 drops per minute for 24 hours on every 5</w:t>
      </w:r>
      <w:r w:rsidRPr="00BB4B6E">
        <w:rPr>
          <w:color w:val="0E101A"/>
          <w:vertAlign w:val="superscript"/>
        </w:rPr>
        <w:t>th</w:t>
      </w:r>
      <w:r w:rsidRPr="00BB4B6E">
        <w:rPr>
          <w:color w:val="0E101A"/>
        </w:rPr>
        <w:t xml:space="preserve"> day. The collection of elute repeated for a period of 5 days </w:t>
      </w:r>
      <w:r w:rsidRPr="00BB4B6E">
        <w:rPr>
          <w:color w:val="000000" w:themeColor="text1"/>
        </w:rPr>
        <w:t xml:space="preserve">at the intervals of 5, 10, 15, 20, 25, 30, 35 and 40 days, respectively. </w:t>
      </w:r>
      <w:r w:rsidRPr="00BB4B6E">
        <w:rPr>
          <w:color w:val="0E101A"/>
        </w:rPr>
        <w:t xml:space="preserve">Then 100 ml distilled water was added after every 5 days to keep experimental soil saturated with water. </w:t>
      </w:r>
    </w:p>
    <w:p w:rsidR="00F934C1" w:rsidRDefault="00F934C1" w:rsidP="00F934C1">
      <w:pPr>
        <w:rPr>
          <w:color w:val="0E101A"/>
        </w:rPr>
      </w:pPr>
    </w:p>
    <w:p w:rsidR="00F934C1" w:rsidRPr="00BB4B6E" w:rsidRDefault="00F934C1" w:rsidP="00F934C1">
      <w:r w:rsidRPr="00BB4B6E">
        <w:rPr>
          <w:color w:val="0E101A"/>
        </w:rPr>
        <w:t>The concentration levels of NO</w:t>
      </w:r>
      <w:r w:rsidRPr="00BB4B6E">
        <w:rPr>
          <w:color w:val="0E101A"/>
          <w:vertAlign w:val="subscript"/>
        </w:rPr>
        <w:t>3</w:t>
      </w:r>
      <w:r w:rsidRPr="00BB4B6E">
        <w:rPr>
          <w:color w:val="0E101A"/>
          <w:vertAlign w:val="superscript"/>
        </w:rPr>
        <w:t>-</w:t>
      </w:r>
      <w:r w:rsidRPr="00BB4B6E">
        <w:rPr>
          <w:color w:val="0E101A"/>
        </w:rPr>
        <w:t>, PO</w:t>
      </w:r>
      <w:r w:rsidRPr="00BB4B6E">
        <w:rPr>
          <w:color w:val="0E101A"/>
          <w:vertAlign w:val="subscript"/>
        </w:rPr>
        <w:t>4</w:t>
      </w:r>
      <w:r w:rsidRPr="00BB4B6E">
        <w:rPr>
          <w:color w:val="0E101A"/>
          <w:vertAlign w:val="superscript"/>
        </w:rPr>
        <w:t>3-</w:t>
      </w:r>
      <w:r>
        <w:rPr>
          <w:color w:val="0E101A"/>
        </w:rPr>
        <w:t xml:space="preserve"> in the elua</w:t>
      </w:r>
      <w:r w:rsidRPr="00BB4B6E">
        <w:rPr>
          <w:color w:val="0E101A"/>
        </w:rPr>
        <w:t xml:space="preserve">nt was measured using </w:t>
      </w:r>
      <w:r w:rsidRPr="00BB4B6E">
        <w:rPr>
          <w:rFonts w:eastAsiaTheme="minorEastAsia"/>
          <w:color w:val="000000" w:themeColor="text1"/>
        </w:rPr>
        <w:t xml:space="preserve">a UV-visible spectrophotometer while that of </w:t>
      </w:r>
      <w:r w:rsidRPr="00BB4B6E">
        <w:rPr>
          <w:color w:val="000000" w:themeColor="text1"/>
        </w:rPr>
        <w:t>K</w:t>
      </w:r>
      <w:r w:rsidRPr="00BB4B6E">
        <w:rPr>
          <w:color w:val="000000" w:themeColor="text1"/>
          <w:vertAlign w:val="superscript"/>
        </w:rPr>
        <w:t xml:space="preserve">+ </w:t>
      </w:r>
      <w:r w:rsidRPr="00BB4B6E">
        <w:rPr>
          <w:color w:val="000000" w:themeColor="text1"/>
        </w:rPr>
        <w:t xml:space="preserve">release rate of the </w:t>
      </w:r>
      <w:r w:rsidRPr="00BB4B6E">
        <w:rPr>
          <w:color w:val="0E101A"/>
        </w:rPr>
        <w:t>eluant</w:t>
      </w:r>
      <w:r w:rsidRPr="00BB4B6E">
        <w:rPr>
          <w:color w:val="000000" w:themeColor="text1"/>
        </w:rPr>
        <w:t xml:space="preserve"> was measured using FAAS. </w:t>
      </w:r>
      <w:r w:rsidRPr="00BB4B6E">
        <w:t>The above procedure experiment on nutrient release was repeated in triplicates with the addition of 40 g various treatments to Cd/Pb experimental soil, NPK bone nHA, DAP bone nHA, DAP-NPK bone nHA, NPK Syn nHA, DAP Syn nHA, DAP-NPK Syn nHA, NPK, DAP, a mixture of DAP-NPK commercial fertilizer, to 400 g of sample soil (</w:t>
      </w:r>
      <w:r w:rsidRPr="00BB4B6E">
        <w:rPr>
          <w:rFonts w:eastAsiaTheme="minorHAnsi"/>
        </w:rPr>
        <w:t xml:space="preserve">Tarafder </w:t>
      </w:r>
      <w:r w:rsidRPr="00BB4B6E">
        <w:rPr>
          <w:rFonts w:eastAsiaTheme="minorHAnsi"/>
          <w:i/>
        </w:rPr>
        <w:t>et al</w:t>
      </w:r>
      <w:r w:rsidRPr="00BB4B6E">
        <w:rPr>
          <w:rFonts w:eastAsiaTheme="minorHAnsi"/>
        </w:rPr>
        <w:t xml:space="preserve">., 2020; </w:t>
      </w:r>
      <w:r w:rsidRPr="00BB4B6E">
        <w:rPr>
          <w:color w:val="000000" w:themeColor="text1"/>
        </w:rPr>
        <w:t xml:space="preserve">Nilwala </w:t>
      </w:r>
      <w:r w:rsidRPr="00BB4B6E">
        <w:rPr>
          <w:i/>
          <w:color w:val="000000" w:themeColor="text1"/>
        </w:rPr>
        <w:t>et al</w:t>
      </w:r>
      <w:r w:rsidRPr="00BB4B6E">
        <w:rPr>
          <w:color w:val="000000" w:themeColor="text1"/>
        </w:rPr>
        <w:t>., 2011</w:t>
      </w:r>
      <w:r w:rsidRPr="00BB4B6E">
        <w:t>).</w:t>
      </w:r>
    </w:p>
    <w:p w:rsidR="00F934C1" w:rsidRPr="00BB4B6E" w:rsidRDefault="00F934C1" w:rsidP="00F934C1">
      <w:pPr>
        <w:rPr>
          <w:rFonts w:eastAsiaTheme="minorEastAsia"/>
        </w:rPr>
      </w:pPr>
    </w:p>
    <w:p w:rsidR="00F934C1" w:rsidRPr="00BB4B6E" w:rsidRDefault="00F934C1" w:rsidP="00F934C1">
      <w:pPr>
        <w:pStyle w:val="Heading2"/>
        <w:spacing w:before="0"/>
        <w:rPr>
          <w:rFonts w:eastAsiaTheme="minorEastAsia" w:cs="Times New Roman"/>
          <w:color w:val="auto"/>
          <w:szCs w:val="24"/>
        </w:rPr>
      </w:pPr>
      <w:bookmarkStart w:id="123" w:name="_Toc144820049"/>
      <w:r w:rsidRPr="00BB4B6E">
        <w:rPr>
          <w:rFonts w:eastAsiaTheme="minorEastAsia" w:cs="Times New Roman"/>
          <w:color w:val="auto"/>
          <w:szCs w:val="24"/>
        </w:rPr>
        <w:t>3.11 Data Analysis</w:t>
      </w:r>
      <w:bookmarkEnd w:id="123"/>
    </w:p>
    <w:p w:rsidR="00F934C1" w:rsidRPr="00432638" w:rsidRDefault="00F934C1" w:rsidP="00F934C1">
      <w:pPr>
        <w:rPr>
          <w:rFonts w:eastAsia="Calibri"/>
        </w:rPr>
      </w:pPr>
      <w:r w:rsidRPr="00BB4B6E">
        <w:rPr>
          <w:rFonts w:eastAsia="Calibri"/>
        </w:rPr>
        <w:t>The obtained data was analyzed by SPSS version 22</w:t>
      </w:r>
      <w:r>
        <w:rPr>
          <w:rFonts w:eastAsia="Calibri"/>
        </w:rPr>
        <w:t xml:space="preserve"> which</w:t>
      </w:r>
      <w:r w:rsidRPr="00BB4B6E">
        <w:rPr>
          <w:rFonts w:eastAsia="Calibri"/>
        </w:rPr>
        <w:t xml:space="preserve"> employed ANOVA (one-way) to compare the means and percentages of Cd and Pb uptake reductions, </w:t>
      </w:r>
      <w:r w:rsidRPr="00BB4B6E">
        <w:rPr>
          <w:rFonts w:eastAsia="Calibri"/>
        </w:rPr>
        <w:lastRenderedPageBreak/>
        <w:t xml:space="preserve">growth parameters (plant height, plant leave diameter, plant number of leaves and bean number of pods) with mean separations by standard deviation (Ewa </w:t>
      </w:r>
      <w:r w:rsidRPr="00BB4B6E">
        <w:rPr>
          <w:rFonts w:eastAsia="Calibri"/>
          <w:i/>
        </w:rPr>
        <w:t>et al.,</w:t>
      </w:r>
      <w:r w:rsidRPr="00BB4B6E">
        <w:rPr>
          <w:rFonts w:eastAsia="Calibri"/>
        </w:rPr>
        <w:t xml:space="preserve"> 2019; Saghi </w:t>
      </w:r>
      <w:r w:rsidRPr="00BB4B6E">
        <w:rPr>
          <w:rFonts w:eastAsia="Calibri"/>
          <w:i/>
        </w:rPr>
        <w:t>et al.</w:t>
      </w:r>
      <w:r w:rsidRPr="00BB4B6E">
        <w:rPr>
          <w:rFonts w:eastAsia="Calibri"/>
        </w:rPr>
        <w:t xml:space="preserve">, 2016). When the values of P&lt;0.05, it implies the means are significantly different, </w:t>
      </w:r>
      <w:r w:rsidRPr="00BB4B6E">
        <w:rPr>
          <w:rFonts w:eastAsia="Calibri"/>
          <w:lang w:val="en-GB"/>
        </w:rPr>
        <w:t xml:space="preserve">(ANOVA, p=0.05). </w:t>
      </w:r>
      <w:r w:rsidRPr="00BB4B6E">
        <w:t xml:space="preserve">The concentrations of Cd and Pb were reported in </w:t>
      </w:r>
      <w:r w:rsidRPr="00BB4B6E">
        <w:rPr>
          <w:color w:val="21332C"/>
        </w:rPr>
        <w:t>µ</w:t>
      </w:r>
      <w:r w:rsidRPr="00BB4B6E">
        <w:t>gg</w:t>
      </w:r>
      <w:r w:rsidRPr="00BB4B6E">
        <w:rPr>
          <w:vertAlign w:val="superscript"/>
        </w:rPr>
        <w:t>-1</w:t>
      </w:r>
      <w:r w:rsidRPr="00BB4B6E">
        <w:t>.</w:t>
      </w:r>
      <w:r w:rsidRPr="00BB4B6E">
        <w:br w:type="page"/>
      </w:r>
    </w:p>
    <w:p w:rsidR="00F934C1" w:rsidRPr="00C323D5" w:rsidRDefault="00F934C1" w:rsidP="00F934C1">
      <w:pPr>
        <w:pStyle w:val="Heading1"/>
      </w:pPr>
      <w:bookmarkStart w:id="124" w:name="_Toc62228750"/>
      <w:bookmarkStart w:id="125" w:name="_Toc144820050"/>
      <w:r w:rsidRPr="00C323D5">
        <w:lastRenderedPageBreak/>
        <w:t>CHAPTER FOUR</w:t>
      </w:r>
      <w:bookmarkEnd w:id="124"/>
      <w:bookmarkEnd w:id="125"/>
    </w:p>
    <w:p w:rsidR="00F934C1" w:rsidRPr="00C323D5" w:rsidRDefault="00F934C1" w:rsidP="00F934C1">
      <w:pPr>
        <w:pStyle w:val="Heading1"/>
      </w:pPr>
      <w:bookmarkStart w:id="126" w:name="_Toc62228751"/>
      <w:bookmarkStart w:id="127" w:name="_Toc144820051"/>
      <w:r w:rsidRPr="00C323D5">
        <w:t>RESULTS AND DISCUSSIONS</w:t>
      </w:r>
      <w:bookmarkEnd w:id="126"/>
      <w:bookmarkEnd w:id="127"/>
    </w:p>
    <w:p w:rsidR="00F934C1" w:rsidRPr="00BB4B6E" w:rsidRDefault="00F934C1" w:rsidP="00F934C1">
      <w:pPr>
        <w:pStyle w:val="Heading2"/>
        <w:spacing w:before="0"/>
        <w:rPr>
          <w:rFonts w:cs="Times New Roman"/>
          <w:color w:val="auto"/>
          <w:szCs w:val="24"/>
        </w:rPr>
      </w:pPr>
      <w:bookmarkStart w:id="128" w:name="_Toc62228752"/>
      <w:bookmarkStart w:id="129" w:name="_Toc144820052"/>
      <w:r w:rsidRPr="00BB4B6E">
        <w:rPr>
          <w:rFonts w:cs="Times New Roman"/>
          <w:color w:val="auto"/>
          <w:szCs w:val="24"/>
        </w:rPr>
        <w:t>4.1 Introduction</w:t>
      </w:r>
      <w:bookmarkEnd w:id="128"/>
      <w:bookmarkEnd w:id="129"/>
    </w:p>
    <w:p w:rsidR="00F934C1" w:rsidRPr="00BB4B6E" w:rsidRDefault="00F934C1" w:rsidP="00F934C1">
      <w:pPr>
        <w:rPr>
          <w:color w:val="0E101A"/>
        </w:rPr>
      </w:pPr>
      <w:r w:rsidRPr="00BB4B6E">
        <w:rPr>
          <w:color w:val="0E101A"/>
        </w:rPr>
        <w:t xml:space="preserve">The results addressing </w:t>
      </w:r>
      <w:r>
        <w:rPr>
          <w:color w:val="0E101A"/>
        </w:rPr>
        <w:t>the objectives (i-v) stated in S</w:t>
      </w:r>
      <w:r w:rsidRPr="00BB4B6E">
        <w:rPr>
          <w:color w:val="0E101A"/>
        </w:rPr>
        <w:t>ection 1.4.2 are presented in figures and tables as discussed in this chapter.</w:t>
      </w:r>
    </w:p>
    <w:p w:rsidR="00F934C1" w:rsidRPr="00BB4B6E" w:rsidRDefault="00F934C1" w:rsidP="00F934C1">
      <w:pPr>
        <w:rPr>
          <w:color w:val="0E1F16"/>
        </w:rPr>
      </w:pPr>
    </w:p>
    <w:p w:rsidR="00F934C1" w:rsidRPr="00BB4B6E" w:rsidRDefault="00F934C1" w:rsidP="00F934C1">
      <w:pPr>
        <w:pStyle w:val="Heading2"/>
        <w:spacing w:before="0"/>
        <w:rPr>
          <w:rFonts w:cs="Times New Roman"/>
          <w:color w:val="auto"/>
          <w:szCs w:val="24"/>
        </w:rPr>
      </w:pPr>
      <w:bookmarkStart w:id="130" w:name="_Toc62228753"/>
      <w:bookmarkStart w:id="131" w:name="_Toc144820053"/>
      <w:r w:rsidRPr="00BB4B6E">
        <w:rPr>
          <w:rFonts w:cs="Times New Roman"/>
          <w:color w:val="auto"/>
          <w:szCs w:val="24"/>
        </w:rPr>
        <w:t>4.2 Method Validation</w:t>
      </w:r>
      <w:bookmarkEnd w:id="130"/>
      <w:bookmarkEnd w:id="131"/>
    </w:p>
    <w:p w:rsidR="00F934C1" w:rsidRPr="00BB4B6E" w:rsidRDefault="00F934C1" w:rsidP="00F934C1">
      <w:r w:rsidRPr="00BB4B6E">
        <w:rPr>
          <w:color w:val="0E101A"/>
        </w:rPr>
        <w:t>Table 4.1 shows regression equations of calibration curves of lead and cadmium which were used to calculate Cd and Pb concentration levels obtained from crop leaves. Similarly, recovery tests, metal detection limits (3d), correlation determination (R</w:t>
      </w:r>
      <w:r w:rsidRPr="00BB4B6E">
        <w:rPr>
          <w:color w:val="0E101A"/>
          <w:vertAlign w:val="superscript"/>
        </w:rPr>
        <w:t>2</w:t>
      </w:r>
      <w:r w:rsidRPr="00BB4B6E">
        <w:rPr>
          <w:color w:val="0E101A"/>
        </w:rPr>
        <w:t>) and metal percentage recoveries for leaves and soil samples.</w:t>
      </w:r>
    </w:p>
    <w:p w:rsidR="00F934C1" w:rsidRPr="00BB4B6E" w:rsidRDefault="00F934C1" w:rsidP="00F934C1">
      <w:pPr>
        <w:pStyle w:val="Caption"/>
        <w:rPr>
          <w:b w:val="0"/>
          <w:bCs w:val="0"/>
          <w:color w:val="auto"/>
          <w:sz w:val="24"/>
          <w:szCs w:val="24"/>
        </w:rPr>
      </w:pPr>
    </w:p>
    <w:p w:rsidR="00F934C1" w:rsidRPr="00BB4B6E" w:rsidRDefault="000B2FDC" w:rsidP="00F934C1">
      <w:pPr>
        <w:pStyle w:val="Heading4"/>
      </w:pPr>
      <w:bookmarkStart w:id="132" w:name="_Toc120047569"/>
      <w:bookmarkStart w:id="133" w:name="_Toc144222332"/>
      <w:r>
        <w:t>Table 4.</w:t>
      </w:r>
      <w:r w:rsidR="00F934C1">
        <w:t>1</w:t>
      </w:r>
      <w:r w:rsidR="00F934C1" w:rsidRPr="00BB4B6E">
        <w:rPr>
          <w:noProof/>
        </w:rPr>
        <w:t>:</w:t>
      </w:r>
      <w:r w:rsidR="00F934C1" w:rsidRPr="00BB4B6E">
        <w:t xml:space="preserve"> Method Validation parameters</w:t>
      </w:r>
      <w:bookmarkEnd w:id="35"/>
      <w:bookmarkEnd w:id="36"/>
      <w:bookmarkEnd w:id="37"/>
      <w:bookmarkEnd w:id="38"/>
      <w:bookmarkEnd w:id="39"/>
      <w:bookmarkEnd w:id="40"/>
      <w:bookmarkEnd w:id="41"/>
      <w:bookmarkEnd w:id="132"/>
      <w:bookmarkEnd w:id="13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1"/>
        <w:gridCol w:w="953"/>
        <w:gridCol w:w="1735"/>
        <w:gridCol w:w="1428"/>
        <w:gridCol w:w="1549"/>
        <w:gridCol w:w="1362"/>
      </w:tblGrid>
      <w:tr w:rsidR="00F934C1" w:rsidRPr="00BB4B6E" w:rsidTr="00F934C1">
        <w:tc>
          <w:tcPr>
            <w:tcW w:w="1368" w:type="dxa"/>
            <w:tcBorders>
              <w:top w:val="single" w:sz="4" w:space="0" w:color="auto"/>
              <w:bottom w:val="single" w:sz="4" w:space="0" w:color="auto"/>
            </w:tcBorders>
          </w:tcPr>
          <w:p w:rsidR="00F934C1" w:rsidRPr="00BB4B6E" w:rsidRDefault="00F934C1" w:rsidP="00F934C1">
            <w:pPr>
              <w:autoSpaceDE/>
              <w:autoSpaceDN/>
              <w:adjustRightInd/>
              <w:spacing w:after="200" w:line="276" w:lineRule="auto"/>
              <w:jc w:val="left"/>
            </w:pPr>
          </w:p>
        </w:tc>
        <w:tc>
          <w:tcPr>
            <w:tcW w:w="958" w:type="dxa"/>
            <w:tcBorders>
              <w:top w:val="single" w:sz="4" w:space="0" w:color="auto"/>
              <w:bottom w:val="single" w:sz="4" w:space="0" w:color="auto"/>
            </w:tcBorders>
          </w:tcPr>
          <w:p w:rsidR="00F934C1" w:rsidRPr="00BB4B6E" w:rsidRDefault="00F934C1" w:rsidP="00F934C1">
            <w:r w:rsidRPr="00BB4B6E">
              <w:t>Metal</w:t>
            </w:r>
          </w:p>
        </w:tc>
        <w:tc>
          <w:tcPr>
            <w:tcW w:w="1749" w:type="dxa"/>
            <w:tcBorders>
              <w:top w:val="single" w:sz="4" w:space="0" w:color="auto"/>
              <w:bottom w:val="single" w:sz="4" w:space="0" w:color="auto"/>
            </w:tcBorders>
          </w:tcPr>
          <w:p w:rsidR="00F934C1" w:rsidRPr="00BB4B6E" w:rsidRDefault="00F934C1" w:rsidP="00F934C1">
            <w:pPr>
              <w:spacing w:line="240" w:lineRule="auto"/>
            </w:pPr>
            <w:r w:rsidRPr="00BB4B6E">
              <w:t>Regression equation</w:t>
            </w:r>
          </w:p>
        </w:tc>
        <w:tc>
          <w:tcPr>
            <w:tcW w:w="1400" w:type="dxa"/>
            <w:tcBorders>
              <w:top w:val="single" w:sz="4" w:space="0" w:color="auto"/>
              <w:bottom w:val="single" w:sz="4" w:space="0" w:color="auto"/>
            </w:tcBorders>
          </w:tcPr>
          <w:p w:rsidR="00F934C1" w:rsidRPr="00BB4B6E" w:rsidRDefault="00F934C1" w:rsidP="00F934C1">
            <w:pPr>
              <w:spacing w:line="240" w:lineRule="auto"/>
            </w:pPr>
            <w:r w:rsidRPr="00BB4B6E">
              <w:t>Detection limit (3d) µgg</w:t>
            </w:r>
            <w:r w:rsidRPr="00BB4B6E">
              <w:rPr>
                <w:vertAlign w:val="superscript"/>
              </w:rPr>
              <w:t>-1</w:t>
            </w:r>
          </w:p>
        </w:tc>
        <w:tc>
          <w:tcPr>
            <w:tcW w:w="1534" w:type="dxa"/>
            <w:tcBorders>
              <w:top w:val="single" w:sz="4" w:space="0" w:color="auto"/>
              <w:bottom w:val="single" w:sz="4" w:space="0" w:color="auto"/>
            </w:tcBorders>
          </w:tcPr>
          <w:p w:rsidR="00F934C1" w:rsidRPr="00BB4B6E" w:rsidRDefault="00F934C1" w:rsidP="00F934C1">
            <w:pPr>
              <w:spacing w:line="240" w:lineRule="auto"/>
            </w:pPr>
            <w:r w:rsidRPr="00BB4B6E">
              <w:t>Correlation determination (R</w:t>
            </w:r>
            <w:r w:rsidRPr="00BB4B6E">
              <w:rPr>
                <w:vertAlign w:val="superscript"/>
              </w:rPr>
              <w:t>2</w:t>
            </w:r>
            <w:r w:rsidRPr="00BB4B6E">
              <w:t>)</w:t>
            </w:r>
          </w:p>
        </w:tc>
        <w:tc>
          <w:tcPr>
            <w:tcW w:w="1369" w:type="dxa"/>
            <w:tcBorders>
              <w:top w:val="single" w:sz="4" w:space="0" w:color="auto"/>
              <w:bottom w:val="single" w:sz="4" w:space="0" w:color="auto"/>
            </w:tcBorders>
          </w:tcPr>
          <w:p w:rsidR="00F934C1" w:rsidRPr="00BB4B6E" w:rsidRDefault="00F934C1" w:rsidP="00F934C1">
            <w:r w:rsidRPr="00BB4B6E">
              <w:t>% Recovery</w:t>
            </w:r>
          </w:p>
        </w:tc>
      </w:tr>
      <w:tr w:rsidR="00F934C1" w:rsidRPr="00BB4B6E" w:rsidTr="00F934C1">
        <w:tc>
          <w:tcPr>
            <w:tcW w:w="1368" w:type="dxa"/>
            <w:tcBorders>
              <w:top w:val="single" w:sz="4" w:space="0" w:color="auto"/>
            </w:tcBorders>
          </w:tcPr>
          <w:p w:rsidR="00F934C1" w:rsidRPr="00BB4B6E" w:rsidRDefault="00F934C1" w:rsidP="00F934C1">
            <w:r w:rsidRPr="00BB4B6E">
              <w:t>Kale leaves</w:t>
            </w:r>
          </w:p>
        </w:tc>
        <w:tc>
          <w:tcPr>
            <w:tcW w:w="958" w:type="dxa"/>
            <w:tcBorders>
              <w:top w:val="single" w:sz="4" w:space="0" w:color="auto"/>
            </w:tcBorders>
          </w:tcPr>
          <w:p w:rsidR="00F934C1" w:rsidRPr="00BB4B6E" w:rsidRDefault="00F934C1" w:rsidP="00F934C1">
            <w:r w:rsidRPr="00BB4B6E">
              <w:t>Cd</w:t>
            </w:r>
          </w:p>
        </w:tc>
        <w:tc>
          <w:tcPr>
            <w:tcW w:w="1749" w:type="dxa"/>
            <w:tcBorders>
              <w:top w:val="single" w:sz="4" w:space="0" w:color="auto"/>
            </w:tcBorders>
          </w:tcPr>
          <w:p w:rsidR="00F934C1" w:rsidRPr="00BB4B6E" w:rsidRDefault="00F934C1" w:rsidP="00F934C1">
            <w:r w:rsidRPr="00BB4B6E">
              <w:t>y = 0.79x +0.13</w:t>
            </w:r>
          </w:p>
        </w:tc>
        <w:tc>
          <w:tcPr>
            <w:tcW w:w="1400" w:type="dxa"/>
            <w:tcBorders>
              <w:top w:val="single" w:sz="4" w:space="0" w:color="auto"/>
            </w:tcBorders>
          </w:tcPr>
          <w:p w:rsidR="00F934C1" w:rsidRPr="00BB4B6E" w:rsidRDefault="00F934C1" w:rsidP="00F934C1">
            <w:r w:rsidRPr="00BB4B6E">
              <w:t>0.62±0.0020</w:t>
            </w:r>
          </w:p>
        </w:tc>
        <w:tc>
          <w:tcPr>
            <w:tcW w:w="1534" w:type="dxa"/>
            <w:tcBorders>
              <w:top w:val="single" w:sz="4" w:space="0" w:color="auto"/>
            </w:tcBorders>
          </w:tcPr>
          <w:p w:rsidR="00F934C1" w:rsidRPr="00BB4B6E" w:rsidRDefault="00F934C1" w:rsidP="00F934C1">
            <w:r w:rsidRPr="00BB4B6E">
              <w:t>0.997</w:t>
            </w:r>
          </w:p>
        </w:tc>
        <w:tc>
          <w:tcPr>
            <w:tcW w:w="1369" w:type="dxa"/>
            <w:tcBorders>
              <w:top w:val="single" w:sz="4" w:space="0" w:color="auto"/>
            </w:tcBorders>
          </w:tcPr>
          <w:p w:rsidR="00F934C1" w:rsidRPr="00BB4B6E" w:rsidRDefault="00F934C1" w:rsidP="00F934C1">
            <w:r w:rsidRPr="00BB4B6E">
              <w:t>97.0-100</w:t>
            </w:r>
          </w:p>
        </w:tc>
      </w:tr>
      <w:tr w:rsidR="00F934C1" w:rsidRPr="00BB4B6E" w:rsidTr="00F934C1">
        <w:tc>
          <w:tcPr>
            <w:tcW w:w="1368" w:type="dxa"/>
            <w:tcBorders>
              <w:bottom w:val="single" w:sz="4" w:space="0" w:color="auto"/>
            </w:tcBorders>
          </w:tcPr>
          <w:p w:rsidR="00F934C1" w:rsidRPr="00BB4B6E" w:rsidRDefault="00F934C1" w:rsidP="00F934C1"/>
        </w:tc>
        <w:tc>
          <w:tcPr>
            <w:tcW w:w="958" w:type="dxa"/>
            <w:tcBorders>
              <w:bottom w:val="single" w:sz="4" w:space="0" w:color="auto"/>
            </w:tcBorders>
          </w:tcPr>
          <w:p w:rsidR="00F934C1" w:rsidRPr="00BB4B6E" w:rsidRDefault="00F934C1" w:rsidP="00F934C1">
            <w:r w:rsidRPr="00BB4B6E">
              <w:t>Pb</w:t>
            </w:r>
          </w:p>
        </w:tc>
        <w:tc>
          <w:tcPr>
            <w:tcW w:w="1749" w:type="dxa"/>
            <w:tcBorders>
              <w:bottom w:val="single" w:sz="4" w:space="0" w:color="auto"/>
            </w:tcBorders>
          </w:tcPr>
          <w:p w:rsidR="00F934C1" w:rsidRPr="00BB4B6E" w:rsidRDefault="00F934C1" w:rsidP="00F934C1">
            <w:r w:rsidRPr="00BB4B6E">
              <w:t xml:space="preserve">y = 0.81x + 0.18 </w:t>
            </w:r>
          </w:p>
        </w:tc>
        <w:tc>
          <w:tcPr>
            <w:tcW w:w="1400" w:type="dxa"/>
            <w:tcBorders>
              <w:bottom w:val="single" w:sz="4" w:space="0" w:color="auto"/>
            </w:tcBorders>
          </w:tcPr>
          <w:p w:rsidR="00F934C1" w:rsidRPr="00BB4B6E" w:rsidRDefault="00F934C1" w:rsidP="00F934C1">
            <w:r w:rsidRPr="00BB4B6E">
              <w:t>0.35±0.0011</w:t>
            </w:r>
          </w:p>
        </w:tc>
        <w:tc>
          <w:tcPr>
            <w:tcW w:w="1534" w:type="dxa"/>
            <w:tcBorders>
              <w:bottom w:val="single" w:sz="4" w:space="0" w:color="auto"/>
            </w:tcBorders>
          </w:tcPr>
          <w:p w:rsidR="00F934C1" w:rsidRPr="00BB4B6E" w:rsidRDefault="00F934C1" w:rsidP="00F934C1">
            <w:r w:rsidRPr="00BB4B6E">
              <w:t>0.998</w:t>
            </w:r>
          </w:p>
        </w:tc>
        <w:tc>
          <w:tcPr>
            <w:tcW w:w="1369" w:type="dxa"/>
            <w:tcBorders>
              <w:bottom w:val="single" w:sz="4" w:space="0" w:color="auto"/>
            </w:tcBorders>
          </w:tcPr>
          <w:p w:rsidR="00F934C1" w:rsidRPr="00BB4B6E" w:rsidRDefault="00F934C1" w:rsidP="00F934C1">
            <w:r w:rsidRPr="00BB4B6E">
              <w:t>97.1-100</w:t>
            </w:r>
          </w:p>
        </w:tc>
      </w:tr>
      <w:tr w:rsidR="00F934C1" w:rsidRPr="00BB4B6E" w:rsidTr="00F934C1">
        <w:tc>
          <w:tcPr>
            <w:tcW w:w="1368" w:type="dxa"/>
            <w:tcBorders>
              <w:top w:val="single" w:sz="4" w:space="0" w:color="auto"/>
            </w:tcBorders>
          </w:tcPr>
          <w:p w:rsidR="00F934C1" w:rsidRPr="00BB4B6E" w:rsidRDefault="00F934C1" w:rsidP="00F934C1">
            <w:r w:rsidRPr="00BB4B6E">
              <w:t>Bean leaves</w:t>
            </w:r>
          </w:p>
        </w:tc>
        <w:tc>
          <w:tcPr>
            <w:tcW w:w="958" w:type="dxa"/>
            <w:tcBorders>
              <w:top w:val="single" w:sz="4" w:space="0" w:color="auto"/>
            </w:tcBorders>
          </w:tcPr>
          <w:p w:rsidR="00F934C1" w:rsidRPr="00BB4B6E" w:rsidRDefault="00F934C1" w:rsidP="00F934C1">
            <w:r w:rsidRPr="00BB4B6E">
              <w:t>Cd</w:t>
            </w:r>
          </w:p>
        </w:tc>
        <w:tc>
          <w:tcPr>
            <w:tcW w:w="1749" w:type="dxa"/>
            <w:tcBorders>
              <w:top w:val="single" w:sz="4" w:space="0" w:color="auto"/>
            </w:tcBorders>
          </w:tcPr>
          <w:p w:rsidR="00F934C1" w:rsidRPr="00BB4B6E" w:rsidRDefault="00F934C1" w:rsidP="00F934C1">
            <w:r w:rsidRPr="00BB4B6E">
              <w:t>y = 0.79x +0.35</w:t>
            </w:r>
          </w:p>
        </w:tc>
        <w:tc>
          <w:tcPr>
            <w:tcW w:w="1400" w:type="dxa"/>
            <w:tcBorders>
              <w:top w:val="single" w:sz="4" w:space="0" w:color="auto"/>
            </w:tcBorders>
          </w:tcPr>
          <w:p w:rsidR="00F934C1" w:rsidRPr="00BB4B6E" w:rsidRDefault="00F934C1" w:rsidP="00F934C1">
            <w:r w:rsidRPr="00BB4B6E">
              <w:t>0.72±0.0015</w:t>
            </w:r>
          </w:p>
        </w:tc>
        <w:tc>
          <w:tcPr>
            <w:tcW w:w="1534" w:type="dxa"/>
            <w:tcBorders>
              <w:top w:val="single" w:sz="4" w:space="0" w:color="auto"/>
            </w:tcBorders>
          </w:tcPr>
          <w:p w:rsidR="00F934C1" w:rsidRPr="00BB4B6E" w:rsidRDefault="00F934C1" w:rsidP="00F934C1">
            <w:r w:rsidRPr="00BB4B6E">
              <w:t>0.997</w:t>
            </w:r>
          </w:p>
        </w:tc>
        <w:tc>
          <w:tcPr>
            <w:tcW w:w="1369" w:type="dxa"/>
            <w:tcBorders>
              <w:top w:val="single" w:sz="4" w:space="0" w:color="auto"/>
            </w:tcBorders>
          </w:tcPr>
          <w:p w:rsidR="00F934C1" w:rsidRPr="00BB4B6E" w:rsidRDefault="00F934C1" w:rsidP="00F934C1">
            <w:r w:rsidRPr="00BB4B6E">
              <w:t>98.1-100</w:t>
            </w:r>
          </w:p>
        </w:tc>
      </w:tr>
      <w:tr w:rsidR="00F934C1" w:rsidRPr="00BB4B6E" w:rsidTr="00F934C1">
        <w:trPr>
          <w:trHeight w:val="405"/>
        </w:trPr>
        <w:tc>
          <w:tcPr>
            <w:tcW w:w="1368" w:type="dxa"/>
            <w:tcBorders>
              <w:bottom w:val="single" w:sz="4" w:space="0" w:color="auto"/>
            </w:tcBorders>
          </w:tcPr>
          <w:p w:rsidR="00F934C1" w:rsidRPr="00BB4B6E" w:rsidRDefault="00F934C1" w:rsidP="00F934C1"/>
        </w:tc>
        <w:tc>
          <w:tcPr>
            <w:tcW w:w="958" w:type="dxa"/>
            <w:tcBorders>
              <w:bottom w:val="single" w:sz="4" w:space="0" w:color="auto"/>
            </w:tcBorders>
          </w:tcPr>
          <w:p w:rsidR="00F934C1" w:rsidRPr="00BB4B6E" w:rsidRDefault="00F934C1" w:rsidP="00F934C1">
            <w:r w:rsidRPr="00BB4B6E">
              <w:t>Pb</w:t>
            </w:r>
          </w:p>
        </w:tc>
        <w:tc>
          <w:tcPr>
            <w:tcW w:w="1749" w:type="dxa"/>
            <w:tcBorders>
              <w:bottom w:val="single" w:sz="4" w:space="0" w:color="auto"/>
            </w:tcBorders>
          </w:tcPr>
          <w:p w:rsidR="00F934C1" w:rsidRPr="00BB4B6E" w:rsidRDefault="00F934C1" w:rsidP="00F934C1">
            <w:r w:rsidRPr="00BB4B6E">
              <w:t xml:space="preserve">y = 0.81x + 0.89 </w:t>
            </w:r>
          </w:p>
        </w:tc>
        <w:tc>
          <w:tcPr>
            <w:tcW w:w="1400" w:type="dxa"/>
            <w:tcBorders>
              <w:bottom w:val="single" w:sz="4" w:space="0" w:color="auto"/>
            </w:tcBorders>
          </w:tcPr>
          <w:p w:rsidR="00F934C1" w:rsidRPr="00BB4B6E" w:rsidRDefault="00F934C1" w:rsidP="00F934C1">
            <w:r w:rsidRPr="00BB4B6E">
              <w:t>0.39±0.0022</w:t>
            </w:r>
          </w:p>
        </w:tc>
        <w:tc>
          <w:tcPr>
            <w:tcW w:w="1534" w:type="dxa"/>
            <w:tcBorders>
              <w:bottom w:val="single" w:sz="4" w:space="0" w:color="auto"/>
            </w:tcBorders>
          </w:tcPr>
          <w:p w:rsidR="00F934C1" w:rsidRPr="00BB4B6E" w:rsidRDefault="00F934C1" w:rsidP="00F934C1">
            <w:r w:rsidRPr="00BB4B6E">
              <w:t>0.998</w:t>
            </w:r>
          </w:p>
        </w:tc>
        <w:tc>
          <w:tcPr>
            <w:tcW w:w="1369" w:type="dxa"/>
            <w:tcBorders>
              <w:bottom w:val="single" w:sz="4" w:space="0" w:color="auto"/>
            </w:tcBorders>
          </w:tcPr>
          <w:p w:rsidR="00F934C1" w:rsidRPr="00BB4B6E" w:rsidRDefault="00F934C1" w:rsidP="00F934C1">
            <w:r w:rsidRPr="00BB4B6E">
              <w:t>99-100</w:t>
            </w:r>
          </w:p>
        </w:tc>
      </w:tr>
    </w:tbl>
    <w:p w:rsidR="00F934C1" w:rsidRPr="00BB4B6E" w:rsidRDefault="00F934C1" w:rsidP="00F934C1">
      <w:pPr>
        <w:rPr>
          <w:color w:val="0E101A"/>
        </w:rPr>
      </w:pPr>
      <w:bookmarkStart w:id="134" w:name="_Toc51833186"/>
    </w:p>
    <w:p w:rsidR="00F934C1" w:rsidRPr="00BB4B6E" w:rsidRDefault="00F934C1" w:rsidP="00F934C1">
      <w:r w:rsidRPr="00BB4B6E">
        <w:rPr>
          <w:color w:val="0E101A"/>
        </w:rPr>
        <w:t xml:space="preserve">The LODs ranged from 0.35 to 0.72 and this  was higher than to those reported by </w:t>
      </w:r>
      <w:r w:rsidR="00C226E6" w:rsidRPr="00BB4B6E">
        <w:rPr>
          <w:szCs w:val="26"/>
        </w:rPr>
        <w:fldChar w:fldCharType="begin" w:fldLock="1"/>
      </w:r>
      <w:r w:rsidRPr="00BB4B6E">
        <w:rPr>
          <w:szCs w:val="26"/>
        </w:rPr>
        <w:instrText>ADDIN CSL_CITATION {"citationItems":[{"id":"ITEM-1","itemData":{"author":[{"dropping-particle":"","family":"Sezgin, N.; Fatima, A.; Farhan, M.; Awan","given":"N.","non-dropping-particle":"","parse-names":false,"suffix":""}],"container-title":"Pollution Journal of Environmental Studies","id":"ITEM-1","issued":{"date-parts":[["2019"]]},"page":"1561–1566.","title":"Comparative Analysis of Chromium and Cadmium in Various Parts of Wheat and Maize.","type":"article-journal","volume":"28"},"uris":["http://www.mendeley.com/documents/?uuid=9fb3b9f6-feab-496e-8a57-c4537ba461bb"]}],"mendeley":{"formattedCitation":"(Sezgin, N.; Fatima, A.; Farhan, M.; Awan, 2019)","manualFormatting":"(Sezgin et al. (2019)","plainTextFormattedCitation":"(Sezgin, N.; Fatima, A.; Farhan, M.; Awan, 2019)","previouslyFormattedCitation":"(Sezgin, N.; Fatima, A.; Farhan, M.; Awan, 2019)"},"properties":{"noteIndex":0},"schema":"https://github.com/citation-style-language/schema/raw/master/csl-citation.json"}</w:instrText>
      </w:r>
      <w:r w:rsidR="00C226E6" w:rsidRPr="00BB4B6E">
        <w:rPr>
          <w:szCs w:val="26"/>
        </w:rPr>
        <w:fldChar w:fldCharType="separate"/>
      </w:r>
      <w:r w:rsidRPr="00BB4B6E">
        <w:rPr>
          <w:noProof/>
          <w:szCs w:val="26"/>
        </w:rPr>
        <w:t xml:space="preserve">Sezgin </w:t>
      </w:r>
      <w:r w:rsidRPr="00BB4B6E">
        <w:rPr>
          <w:i/>
          <w:noProof/>
          <w:szCs w:val="26"/>
        </w:rPr>
        <w:t>et al.</w:t>
      </w:r>
      <w:r w:rsidRPr="00BB4B6E">
        <w:rPr>
          <w:noProof/>
          <w:szCs w:val="26"/>
        </w:rPr>
        <w:t>(2019)</w:t>
      </w:r>
      <w:r w:rsidR="00C226E6" w:rsidRPr="00BB4B6E">
        <w:rPr>
          <w:szCs w:val="26"/>
        </w:rPr>
        <w:fldChar w:fldCharType="end"/>
      </w:r>
      <w:r w:rsidRPr="00BB4B6E">
        <w:rPr>
          <w:szCs w:val="26"/>
        </w:rPr>
        <w:t xml:space="preserve"> who obtained 0.036</w:t>
      </w:r>
      <w:r w:rsidRPr="00BB4B6E">
        <w:t>±0.0011</w:t>
      </w:r>
      <w:r w:rsidRPr="00BB4B6E">
        <w:rPr>
          <w:szCs w:val="26"/>
        </w:rPr>
        <w:t xml:space="preserve"> and 0.025</w:t>
      </w:r>
      <w:r w:rsidRPr="00BB4B6E">
        <w:t>±0.0015 µgg</w:t>
      </w:r>
      <w:r w:rsidRPr="00BB4B6E">
        <w:rPr>
          <w:vertAlign w:val="superscript"/>
        </w:rPr>
        <w:t>-1</w:t>
      </w:r>
      <w:r w:rsidRPr="00BB4B6E">
        <w:t xml:space="preserve"> for Cd and Pb respectively</w:t>
      </w:r>
      <w:r w:rsidRPr="00BB4B6E">
        <w:rPr>
          <w:szCs w:val="26"/>
        </w:rPr>
        <w:t>.</w:t>
      </w:r>
      <w:bookmarkEnd w:id="134"/>
      <w:r>
        <w:rPr>
          <w:szCs w:val="26"/>
        </w:rPr>
        <w:t xml:space="preserve"> </w:t>
      </w:r>
      <w:r w:rsidRPr="00BB4B6E">
        <w:rPr>
          <w:color w:val="0E101A"/>
        </w:rPr>
        <w:t>The coefficient of correlation</w:t>
      </w:r>
      <w:r w:rsidRPr="00BB4B6E">
        <w:t xml:space="preserve"> (R</w:t>
      </w:r>
      <w:r w:rsidRPr="00BB4B6E">
        <w:rPr>
          <w:vertAlign w:val="superscript"/>
        </w:rPr>
        <w:t>2</w:t>
      </w:r>
      <w:r w:rsidRPr="00BB4B6E">
        <w:t xml:space="preserve">) </w:t>
      </w:r>
      <w:r w:rsidRPr="00BB4B6E">
        <w:rPr>
          <w:color w:val="0E101A"/>
        </w:rPr>
        <w:t>values were above 0.996 (</w:t>
      </w:r>
      <w:r w:rsidRPr="00BB4B6E">
        <w:t>R</w:t>
      </w:r>
      <w:r w:rsidRPr="00BB4B6E">
        <w:rPr>
          <w:vertAlign w:val="superscript"/>
        </w:rPr>
        <w:t>2</w:t>
      </w:r>
      <w:r w:rsidRPr="00BB4B6E">
        <w:t>˃0.996</w:t>
      </w:r>
      <w:r w:rsidRPr="00BB4B6E">
        <w:rPr>
          <w:color w:val="0E101A"/>
        </w:rPr>
        <w:t>), indicating at least 99.6 % linearity of absorbance against concentration (</w:t>
      </w:r>
      <w:r w:rsidRPr="00BB4B6E">
        <w:rPr>
          <w:noProof/>
          <w:szCs w:val="26"/>
        </w:rPr>
        <w:t xml:space="preserve">Sezgin </w:t>
      </w:r>
      <w:r w:rsidRPr="00BB4B6E">
        <w:rPr>
          <w:i/>
          <w:noProof/>
          <w:szCs w:val="26"/>
        </w:rPr>
        <w:t>et al.</w:t>
      </w:r>
      <w:r w:rsidRPr="00BB4B6E">
        <w:rPr>
          <w:noProof/>
          <w:szCs w:val="26"/>
        </w:rPr>
        <w:t>, 2019)</w:t>
      </w:r>
      <w:r w:rsidRPr="00BB4B6E">
        <w:rPr>
          <w:color w:val="0E101A"/>
        </w:rPr>
        <w:t xml:space="preserve">. The percentage recoveries were between 97.0 and 100 % </w:t>
      </w:r>
      <w:r w:rsidRPr="00BB4B6E">
        <w:rPr>
          <w:color w:val="0E101A"/>
        </w:rPr>
        <w:lastRenderedPageBreak/>
        <w:t xml:space="preserve">implying that the methods employed in this study had permissible precision and accuracy </w:t>
      </w:r>
      <w:r w:rsidR="00C226E6" w:rsidRPr="00BB4B6E">
        <w:rPr>
          <w:color w:val="0E101A"/>
        </w:rPr>
        <w:fldChar w:fldCharType="begin" w:fldLock="1"/>
      </w:r>
      <w:r w:rsidRPr="00BB4B6E">
        <w:rPr>
          <w:color w:val="0E101A"/>
        </w:rPr>
        <w:instrText>ADDIN CSL_CITATION {"citationItems":[{"id":"ITEM-1","itemData":{"author":[{"dropping-particle":"","family":"Naeem, A.; Saifullah, A.; Zia-ur-Rehman, M.; Aktar, T.; Zia, M.H.; Aslam","given":"M.","non-dropping-particle":"","parse-names":false,"suffix":""}],"container-title":"Environmental Pollution","id":"ITEM-1","issued":{"date-parts":[["2018"]]},"page":"126–135.","title":"Silicon nutrition lowers cadmium content of wheat cultivars by regulating transpiration rate and activity of antioxidant enzymes.","type":"article-journal","volume":"242"},"uris":["http://www.mendeley.com/documents/?uuid=4f10f65a-1f52-424f-b644-e8962965552b"]}],"mendeley":{"formattedCitation":"(Naeem, A.; Saifullah, A.; Zia-ur-Rehman, M.; Aktar, T.; Zia, M.H.; Aslam, 2018)","manualFormatting":"(Naeem et al., 2013","plainTextFormattedCitation":"(Naeem, A.; Saifullah, A.; Zia-ur-Rehman, M.; Aktar, T.; Zia, M.H.; Aslam, 2018)","previouslyFormattedCitation":"(Naeem, A.; Saifullah, A.; Zia-ur-Rehman, M.; Aktar, T.; Zia, M.H.; Aslam, 2018)"},"properties":{"noteIndex":0},"schema":"https://github.com/citation-style-language/schema/raw/master/csl-citation.json"}</w:instrText>
      </w:r>
      <w:r w:rsidR="00C226E6" w:rsidRPr="00BB4B6E">
        <w:rPr>
          <w:color w:val="0E101A"/>
        </w:rPr>
        <w:fldChar w:fldCharType="separate"/>
      </w:r>
      <w:r w:rsidRPr="00BB4B6E">
        <w:rPr>
          <w:noProof/>
          <w:color w:val="0E101A"/>
        </w:rPr>
        <w:t xml:space="preserve">(Qi </w:t>
      </w:r>
      <w:r w:rsidRPr="00BB4B6E">
        <w:rPr>
          <w:i/>
          <w:noProof/>
          <w:color w:val="0E101A"/>
        </w:rPr>
        <w:t>et al.</w:t>
      </w:r>
      <w:r w:rsidRPr="00BB4B6E">
        <w:rPr>
          <w:noProof/>
          <w:color w:val="0E101A"/>
        </w:rPr>
        <w:t>, 20</w:t>
      </w:r>
      <w:r w:rsidR="00C226E6" w:rsidRPr="00BB4B6E">
        <w:rPr>
          <w:color w:val="0E101A"/>
        </w:rPr>
        <w:fldChar w:fldCharType="end"/>
      </w:r>
      <w:r w:rsidRPr="00BB4B6E">
        <w:rPr>
          <w:color w:val="0E101A"/>
        </w:rPr>
        <w:t>20).</w:t>
      </w:r>
    </w:p>
    <w:p w:rsidR="00F934C1" w:rsidRPr="00BB4B6E" w:rsidRDefault="00F934C1" w:rsidP="00F934C1"/>
    <w:p w:rsidR="00F934C1" w:rsidRPr="00BB4B6E" w:rsidRDefault="00F934C1" w:rsidP="00F934C1">
      <w:pPr>
        <w:pStyle w:val="Heading2"/>
        <w:spacing w:before="0"/>
        <w:rPr>
          <w:rFonts w:cs="Times New Roman"/>
          <w:color w:val="auto"/>
          <w:szCs w:val="24"/>
        </w:rPr>
      </w:pPr>
      <w:bookmarkStart w:id="135" w:name="_Toc62228754"/>
      <w:bookmarkStart w:id="136" w:name="_Toc144820054"/>
      <w:r w:rsidRPr="00BB4B6E">
        <w:rPr>
          <w:rFonts w:cs="Times New Roman"/>
          <w:color w:val="auto"/>
          <w:szCs w:val="24"/>
        </w:rPr>
        <w:t>4.3 Nanoparticle Characterization</w:t>
      </w:r>
      <w:bookmarkEnd w:id="135"/>
      <w:bookmarkEnd w:id="136"/>
    </w:p>
    <w:p w:rsidR="00F934C1" w:rsidRPr="00BB4B6E" w:rsidRDefault="00F934C1" w:rsidP="00F934C1">
      <w:pPr>
        <w:pStyle w:val="Heading3"/>
        <w:spacing w:before="0"/>
        <w:rPr>
          <w:rFonts w:cs="Times New Roman"/>
        </w:rPr>
      </w:pPr>
      <w:bookmarkStart w:id="137" w:name="_Toc144820055"/>
      <w:r w:rsidRPr="00BB4B6E">
        <w:rPr>
          <w:rFonts w:cs="Times New Roman"/>
        </w:rPr>
        <w:t>4.3.1 SEM Analysis</w:t>
      </w:r>
      <w:bookmarkEnd w:id="137"/>
    </w:p>
    <w:p w:rsidR="00F934C1" w:rsidRPr="00BB4B6E" w:rsidRDefault="00F934C1" w:rsidP="00F934C1">
      <w:pPr>
        <w:rPr>
          <w:color w:val="0E101A"/>
        </w:rPr>
      </w:pPr>
      <w:r w:rsidRPr="00BB4B6E">
        <w:rPr>
          <w:color w:val="0E101A"/>
        </w:rPr>
        <w:t>Figure 4.1 to 4.3 shows SEM</w:t>
      </w:r>
      <w:r w:rsidR="002D066D">
        <w:rPr>
          <w:color w:val="0E101A"/>
        </w:rPr>
        <w:t xml:space="preserve"> (Scanning Elecron Microscopy)</w:t>
      </w:r>
      <w:r w:rsidRPr="00BB4B6E">
        <w:rPr>
          <w:color w:val="0E101A"/>
        </w:rPr>
        <w:t xml:space="preserve"> images of nanoparticles using Zeiss Gemini SEM 500 (Indian Institute of science and Technology).</w:t>
      </w:r>
    </w:p>
    <w:p w:rsidR="000B2FDC" w:rsidRDefault="009E3DFE" w:rsidP="00F934C1">
      <w:pPr>
        <w:pStyle w:val="Caption"/>
        <w:rPr>
          <w:color w:val="000000" w:themeColor="text1"/>
          <w:sz w:val="24"/>
          <w:szCs w:val="24"/>
        </w:rPr>
      </w:pPr>
      <w:r>
        <w:rPr>
          <w:noProof/>
        </w:rPr>
        <mc:AlternateContent>
          <mc:Choice Requires="wps">
            <w:drawing>
              <wp:anchor distT="0" distB="0" distL="114300" distR="114300" simplePos="0" relativeHeight="251642368" behindDoc="0" locked="0" layoutInCell="1" allowOverlap="1">
                <wp:simplePos x="0" y="0"/>
                <wp:positionH relativeFrom="column">
                  <wp:posOffset>2432050</wp:posOffset>
                </wp:positionH>
                <wp:positionV relativeFrom="paragraph">
                  <wp:posOffset>18415</wp:posOffset>
                </wp:positionV>
                <wp:extent cx="327660" cy="294005"/>
                <wp:effectExtent l="12700" t="8890" r="12065" b="11430"/>
                <wp:wrapNone/>
                <wp:docPr id="9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 cy="294005"/>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left:0;text-align:left;margin-left:191.5pt;margin-top:1.45pt;width:25.8pt;height:23.1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">
                <v:textbox>
                  <w:txbxContent>
                    <w:p w:rsidR="00EE4979" w:rsidRPr="0090635B" w:rsidRDefault="00EE4979" w:rsidP="00F934C1">
                      <w:pPr>
                        <w:rPr>
                          <w:b/>
                          <w:color w:val="00B0F0"/>
                        </w:rPr>
                      </w:pPr>
                      <w:r w:rsidRPr="0090635B">
                        <w:rPr>
                          <w:b/>
                          <w:color w:val="00B0F0"/>
                        </w:rPr>
                        <w:t>b</w:t>
                      </w:r>
                    </w:p>
                  </w:txbxContent>
                </v:textbox>
              </v:rect>
            </w:pict>
          </mc:Fallback>
        </mc:AlternateContent>
      </w:r>
      <w:r>
        <w:rPr>
          <w:noProof/>
        </w:rPr>
        <mc:AlternateContent>
          <mc:Choice Requires="wps">
            <w:drawing>
              <wp:anchor distT="0" distB="0" distL="114300" distR="114300" simplePos="0" relativeHeight="251643392" behindDoc="0" locked="0" layoutInCell="1" allowOverlap="1">
                <wp:simplePos x="0" y="0"/>
                <wp:positionH relativeFrom="column">
                  <wp:posOffset>56515</wp:posOffset>
                </wp:positionH>
                <wp:positionV relativeFrom="paragraph">
                  <wp:posOffset>18415</wp:posOffset>
                </wp:positionV>
                <wp:extent cx="327025" cy="294005"/>
                <wp:effectExtent l="8890" t="8890" r="6985" b="11430"/>
                <wp:wrapNone/>
                <wp:docPr id="7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025" cy="294005"/>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8" style="position:absolute;left:0;text-align:left;margin-left:4.45pt;margin-top:1.45pt;width:25.75pt;height:23.1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">
                <v:textbox>
                  <w:txbxContent>
                    <w:p w:rsidR="00EE4979" w:rsidRPr="0090635B" w:rsidRDefault="00EE4979" w:rsidP="00F934C1">
                      <w:pPr>
                        <w:rPr>
                          <w:b/>
                          <w:color w:val="00B0F0"/>
                        </w:rPr>
                      </w:pPr>
                      <w:r w:rsidRPr="0090635B">
                        <w:rPr>
                          <w:b/>
                          <w:color w:val="00B0F0"/>
                        </w:rPr>
                        <w:t>a</w:t>
                      </w:r>
                    </w:p>
                  </w:txbxContent>
                </v:textbox>
              </v:rect>
            </w:pict>
          </mc:Fallback>
        </mc:AlternateContent>
      </w:r>
      <w:r w:rsidR="00F934C1" w:rsidRPr="00BB4B6E">
        <w:rPr>
          <w:noProof/>
          <w:color w:val="0E101A"/>
        </w:rPr>
        <w:drawing>
          <wp:inline distT="0" distB="0" distL="0" distR="0" wp14:anchorId="6E2FB655" wp14:editId="3772C953">
            <wp:extent cx="2382391" cy="2441575"/>
            <wp:effectExtent l="0" t="0" r="0" b="0"/>
            <wp:docPr id="4" name="Picture 1" descr="C:\Users\ADMIN\AppData\Local\Temp\Rar$DIa2112.40026\1_0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AppData\Local\Temp\Rar$DIa2112.40026\1_00.tif"/>
                    <pic:cNvPicPr>
                      <a:picLocks noChangeAspect="1" noChangeArrowheads="1"/>
                    </pic:cNvPicPr>
                  </pic:nvPicPr>
                  <pic:blipFill>
                    <a:blip r:embed="rId12"/>
                    <a:srcRect/>
                    <a:stretch>
                      <a:fillRect/>
                    </a:stretch>
                  </pic:blipFill>
                  <pic:spPr bwMode="auto">
                    <a:xfrm>
                      <a:off x="0" y="0"/>
                      <a:ext cx="2395857" cy="2455375"/>
                    </a:xfrm>
                    <a:prstGeom prst="rect">
                      <a:avLst/>
                    </a:prstGeom>
                    <a:noFill/>
                    <a:ln w="9525">
                      <a:noFill/>
                      <a:miter lim="800000"/>
                      <a:headEnd/>
                      <a:tailEnd/>
                    </a:ln>
                  </pic:spPr>
                </pic:pic>
              </a:graphicData>
            </a:graphic>
          </wp:inline>
        </w:drawing>
      </w:r>
      <w:r w:rsidR="00F934C1" w:rsidRPr="00BB4B6E">
        <w:rPr>
          <w:noProof/>
          <w:color w:val="0E101A"/>
        </w:rPr>
        <w:drawing>
          <wp:inline distT="0" distB="0" distL="0" distR="0" wp14:anchorId="49A2451A" wp14:editId="7141C903">
            <wp:extent cx="2219325" cy="2452064"/>
            <wp:effectExtent l="0" t="0" r="0" b="0"/>
            <wp:docPr id="5" name="Picture 2" descr="C:\Users\ADMIN\AppData\Local\Temp\Rar$DIa2112.8729\2_0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AppData\Local\Temp\Rar$DIa2112.8729\2_06.tif"/>
                    <pic:cNvPicPr>
                      <a:picLocks noChangeAspect="1" noChangeArrowheads="1"/>
                    </pic:cNvPicPr>
                  </pic:nvPicPr>
                  <pic:blipFill>
                    <a:blip r:embed="rId13"/>
                    <a:srcRect/>
                    <a:stretch>
                      <a:fillRect/>
                    </a:stretch>
                  </pic:blipFill>
                  <pic:spPr bwMode="auto">
                    <a:xfrm>
                      <a:off x="0" y="0"/>
                      <a:ext cx="2239164" cy="2473984"/>
                    </a:xfrm>
                    <a:prstGeom prst="rect">
                      <a:avLst/>
                    </a:prstGeom>
                    <a:noFill/>
                    <a:ln w="9525">
                      <a:noFill/>
                      <a:miter lim="800000"/>
                      <a:headEnd/>
                      <a:tailEnd/>
                    </a:ln>
                  </pic:spPr>
                </pic:pic>
              </a:graphicData>
            </a:graphic>
          </wp:inline>
        </w:drawing>
      </w:r>
      <w:bookmarkStart w:id="138" w:name="_Toc85462840"/>
      <w:bookmarkStart w:id="139" w:name="_Toc104379866"/>
      <w:bookmarkStart w:id="140" w:name="_Toc112877958"/>
      <w:bookmarkStart w:id="141" w:name="_Toc112880591"/>
      <w:bookmarkStart w:id="142" w:name="_Toc120047552"/>
      <w:bookmarkStart w:id="143" w:name="_Toc144222355"/>
    </w:p>
    <w:p w:rsidR="00F934C1" w:rsidRPr="00BB4B6E" w:rsidRDefault="00F934C1" w:rsidP="00F934C1">
      <w:pPr>
        <w:pStyle w:val="Caption"/>
      </w:pPr>
      <w:r w:rsidRPr="00F934C1">
        <w:rPr>
          <w:color w:val="000000" w:themeColor="text1"/>
          <w:sz w:val="24"/>
          <w:szCs w:val="24"/>
        </w:rPr>
        <w:t>Figure 4.</w:t>
      </w:r>
      <w:r w:rsidR="00C226E6" w:rsidRPr="00F934C1">
        <w:rPr>
          <w:color w:val="000000" w:themeColor="text1"/>
          <w:sz w:val="24"/>
          <w:szCs w:val="24"/>
        </w:rPr>
        <w:fldChar w:fldCharType="begin"/>
      </w:r>
      <w:r w:rsidRPr="00F934C1">
        <w:rPr>
          <w:color w:val="000000" w:themeColor="text1"/>
          <w:sz w:val="24"/>
          <w:szCs w:val="24"/>
        </w:rPr>
        <w:instrText xml:space="preserve"> SEQ Figure \* ARABIC </w:instrText>
      </w:r>
      <w:r w:rsidR="00C226E6" w:rsidRPr="00F934C1">
        <w:rPr>
          <w:color w:val="000000" w:themeColor="text1"/>
          <w:sz w:val="24"/>
          <w:szCs w:val="24"/>
        </w:rPr>
        <w:fldChar w:fldCharType="separate"/>
      </w:r>
      <w:r w:rsidR="00301A90">
        <w:rPr>
          <w:noProof/>
          <w:color w:val="000000" w:themeColor="text1"/>
          <w:sz w:val="24"/>
          <w:szCs w:val="24"/>
        </w:rPr>
        <w:t>1</w:t>
      </w:r>
      <w:r w:rsidR="00C226E6" w:rsidRPr="00F934C1">
        <w:rPr>
          <w:color w:val="000000" w:themeColor="text1"/>
          <w:sz w:val="24"/>
          <w:szCs w:val="24"/>
        </w:rPr>
        <w:fldChar w:fldCharType="end"/>
      </w:r>
      <w:r w:rsidRPr="00440801">
        <w:rPr>
          <w:rStyle w:val="Heading5Char"/>
        </w:rPr>
        <w:t>: (a) SEM image of bone nHA and (b) SEM image of synthetic nHA</w:t>
      </w:r>
      <w:bookmarkEnd w:id="138"/>
      <w:bookmarkEnd w:id="139"/>
      <w:bookmarkEnd w:id="140"/>
      <w:bookmarkEnd w:id="141"/>
      <w:bookmarkEnd w:id="142"/>
      <w:bookmarkEnd w:id="143"/>
    </w:p>
    <w:p w:rsidR="00F934C1" w:rsidRDefault="009E3DFE" w:rsidP="00F934C1">
      <w:pPr>
        <w:pStyle w:val="Caption"/>
      </w:pPr>
      <w:r>
        <w:rPr>
          <w:noProof/>
        </w:rPr>
        <mc:AlternateContent>
          <mc:Choice Requires="wps">
            <w:drawing>
              <wp:anchor distT="0" distB="0" distL="114300" distR="114300" simplePos="0" relativeHeight="251644416" behindDoc="0" locked="0" layoutInCell="1" allowOverlap="1">
                <wp:simplePos x="0" y="0"/>
                <wp:positionH relativeFrom="column">
                  <wp:posOffset>2259330</wp:posOffset>
                </wp:positionH>
                <wp:positionV relativeFrom="paragraph">
                  <wp:posOffset>18415</wp:posOffset>
                </wp:positionV>
                <wp:extent cx="338455" cy="281940"/>
                <wp:effectExtent l="11430" t="8890" r="12065" b="13970"/>
                <wp:wrapNone/>
                <wp:docPr id="7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8455" cy="281940"/>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9" style="position:absolute;left:0;text-align:left;margin-left:177.9pt;margin-top:1.45pt;width:26.65pt;height:22.2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">
                <v:textbox>
                  <w:txbxContent>
                    <w:p w:rsidR="00EE4979" w:rsidRPr="0090635B" w:rsidRDefault="00EE4979" w:rsidP="00F934C1">
                      <w:pPr>
                        <w:rPr>
                          <w:b/>
                          <w:color w:val="00B0F0"/>
                        </w:rPr>
                      </w:pPr>
                      <w:r w:rsidRPr="0090635B">
                        <w:rPr>
                          <w:b/>
                          <w:color w:val="00B0F0"/>
                        </w:rPr>
                        <w:t>b</w:t>
                      </w:r>
                    </w:p>
                  </w:txbxContent>
                </v:textbox>
              </v:rect>
            </w:pict>
          </mc:Fallback>
        </mc:AlternateContent>
      </w:r>
      <w:r>
        <w:rPr>
          <w:noProof/>
        </w:rPr>
        <mc:AlternateContent>
          <mc:Choice Requires="wps">
            <w:drawing>
              <wp:anchor distT="0" distB="0" distL="114300" distR="114300" simplePos="0" relativeHeight="251645440" behindDoc="0" locked="0" layoutInCell="1" allowOverlap="1">
                <wp:simplePos x="0" y="0"/>
                <wp:positionH relativeFrom="column">
                  <wp:posOffset>17145</wp:posOffset>
                </wp:positionH>
                <wp:positionV relativeFrom="paragraph">
                  <wp:posOffset>64770</wp:posOffset>
                </wp:positionV>
                <wp:extent cx="349885" cy="281940"/>
                <wp:effectExtent l="7620" t="7620" r="13970" b="5715"/>
                <wp:wrapNone/>
                <wp:docPr id="7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885" cy="281940"/>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30" style="position:absolute;left:0;text-align:left;margin-left:1.35pt;margin-top:5.1pt;width:27.55pt;height:22.2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">
                <v:textbox>
                  <w:txbxContent>
                    <w:p w:rsidR="00EE4979" w:rsidRPr="0090635B" w:rsidRDefault="00EE4979" w:rsidP="00F934C1">
                      <w:pPr>
                        <w:rPr>
                          <w:b/>
                          <w:color w:val="00B0F0"/>
                        </w:rPr>
                      </w:pPr>
                      <w:r w:rsidRPr="0090635B">
                        <w:rPr>
                          <w:b/>
                          <w:color w:val="00B0F0"/>
                        </w:rPr>
                        <w:t>a</w:t>
                      </w:r>
                    </w:p>
                  </w:txbxContent>
                </v:textbox>
              </v:rect>
            </w:pict>
          </mc:Fallback>
        </mc:AlternateContent>
      </w:r>
      <w:r w:rsidR="00F934C1" w:rsidRPr="00BB4B6E">
        <w:rPr>
          <w:noProof/>
        </w:rPr>
        <w:drawing>
          <wp:inline distT="0" distB="0" distL="0" distR="0" wp14:anchorId="03C97EBD" wp14:editId="640FDBDE">
            <wp:extent cx="2209800" cy="2454389"/>
            <wp:effectExtent l="0" t="0" r="0" b="0"/>
            <wp:docPr id="6" name="Picture 3" descr="C:\Users\ADMIN\AppData\Local\Temp\Rar$DIa2112.17307\3_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AppData\Local\Temp\Rar$DIa2112.17307\3_11.tif"/>
                    <pic:cNvPicPr>
                      <a:picLocks noChangeAspect="1" noChangeArrowheads="1"/>
                    </pic:cNvPicPr>
                  </pic:nvPicPr>
                  <pic:blipFill>
                    <a:blip r:embed="rId14"/>
                    <a:srcRect/>
                    <a:stretch>
                      <a:fillRect/>
                    </a:stretch>
                  </pic:blipFill>
                  <pic:spPr bwMode="auto">
                    <a:xfrm>
                      <a:off x="0" y="0"/>
                      <a:ext cx="2225741" cy="2472095"/>
                    </a:xfrm>
                    <a:prstGeom prst="rect">
                      <a:avLst/>
                    </a:prstGeom>
                    <a:noFill/>
                    <a:ln w="9525">
                      <a:noFill/>
                      <a:miter lim="800000"/>
                      <a:headEnd/>
                      <a:tailEnd/>
                    </a:ln>
                  </pic:spPr>
                </pic:pic>
              </a:graphicData>
            </a:graphic>
          </wp:inline>
        </w:drawing>
      </w:r>
      <w:r w:rsidR="00F934C1" w:rsidRPr="00BB4B6E">
        <w:rPr>
          <w:noProof/>
        </w:rPr>
        <w:drawing>
          <wp:inline distT="0" distB="0" distL="0" distR="0" wp14:anchorId="4F72D13A" wp14:editId="02D18866">
            <wp:extent cx="2341245" cy="2480786"/>
            <wp:effectExtent l="0" t="0" r="0" b="0"/>
            <wp:docPr id="7" name="Picture 2" descr="C:\Users\ADMIN\AppData\Local\Temp\Rar$DIa2112.8729\2_0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AppData\Local\Temp\Rar$DIa2112.8729\2_06.tif"/>
                    <pic:cNvPicPr>
                      <a:picLocks noChangeAspect="1" noChangeArrowheads="1"/>
                    </pic:cNvPicPr>
                  </pic:nvPicPr>
                  <pic:blipFill>
                    <a:blip r:embed="rId13"/>
                    <a:srcRect/>
                    <a:stretch>
                      <a:fillRect/>
                    </a:stretch>
                  </pic:blipFill>
                  <pic:spPr bwMode="auto">
                    <a:xfrm>
                      <a:off x="0" y="0"/>
                      <a:ext cx="2355614" cy="2496012"/>
                    </a:xfrm>
                    <a:prstGeom prst="rect">
                      <a:avLst/>
                    </a:prstGeom>
                    <a:noFill/>
                    <a:ln w="9525">
                      <a:noFill/>
                      <a:miter lim="800000"/>
                      <a:headEnd/>
                      <a:tailEnd/>
                    </a:ln>
                  </pic:spPr>
                </pic:pic>
              </a:graphicData>
            </a:graphic>
          </wp:inline>
        </w:drawing>
      </w:r>
      <w:bookmarkStart w:id="144" w:name="_Toc85462841"/>
      <w:bookmarkStart w:id="145" w:name="_Toc104379867"/>
      <w:bookmarkStart w:id="146" w:name="_Toc112877959"/>
      <w:bookmarkStart w:id="147" w:name="_Toc112880592"/>
      <w:bookmarkStart w:id="148" w:name="_Toc120047553"/>
    </w:p>
    <w:p w:rsidR="00F934C1" w:rsidRPr="00BB4B6E" w:rsidRDefault="00F934C1" w:rsidP="00F934C1">
      <w:pPr>
        <w:pStyle w:val="Caption"/>
      </w:pPr>
      <w:bookmarkStart w:id="149" w:name="_Toc144222356"/>
      <w:r w:rsidRPr="00F934C1">
        <w:rPr>
          <w:color w:val="000000" w:themeColor="text1"/>
          <w:sz w:val="24"/>
          <w:szCs w:val="24"/>
        </w:rPr>
        <w:t>Figure 4.</w:t>
      </w:r>
      <w:r w:rsidR="00C226E6" w:rsidRPr="00F934C1">
        <w:rPr>
          <w:color w:val="000000" w:themeColor="text1"/>
          <w:sz w:val="24"/>
          <w:szCs w:val="24"/>
        </w:rPr>
        <w:fldChar w:fldCharType="begin"/>
      </w:r>
      <w:r w:rsidRPr="00F934C1">
        <w:rPr>
          <w:color w:val="000000" w:themeColor="text1"/>
          <w:sz w:val="24"/>
          <w:szCs w:val="24"/>
        </w:rPr>
        <w:instrText xml:space="preserve"> SEQ Figure \* ARABIC </w:instrText>
      </w:r>
      <w:r w:rsidR="00C226E6" w:rsidRPr="00F934C1">
        <w:rPr>
          <w:color w:val="000000" w:themeColor="text1"/>
          <w:sz w:val="24"/>
          <w:szCs w:val="24"/>
        </w:rPr>
        <w:fldChar w:fldCharType="separate"/>
      </w:r>
      <w:r w:rsidR="00301A90">
        <w:rPr>
          <w:noProof/>
          <w:color w:val="000000" w:themeColor="text1"/>
          <w:sz w:val="24"/>
          <w:szCs w:val="24"/>
        </w:rPr>
        <w:t>2</w:t>
      </w:r>
      <w:r w:rsidR="00C226E6" w:rsidRPr="00F934C1">
        <w:rPr>
          <w:color w:val="000000" w:themeColor="text1"/>
          <w:sz w:val="24"/>
          <w:szCs w:val="24"/>
        </w:rPr>
        <w:fldChar w:fldCharType="end"/>
      </w:r>
      <w:r w:rsidRPr="00F934C1">
        <w:rPr>
          <w:rStyle w:val="Heading5Char"/>
        </w:rPr>
        <w:t>:</w:t>
      </w:r>
      <w:r w:rsidRPr="00432638">
        <w:rPr>
          <w:rStyle w:val="Heading5Char"/>
        </w:rPr>
        <w:t xml:space="preserve"> (a) SEM image of bone DAP Nano and (b) SEM image of synthetic DAP Nano</w:t>
      </w:r>
      <w:bookmarkEnd w:id="144"/>
      <w:bookmarkEnd w:id="145"/>
      <w:bookmarkEnd w:id="146"/>
      <w:bookmarkEnd w:id="147"/>
      <w:bookmarkEnd w:id="148"/>
      <w:bookmarkEnd w:id="149"/>
    </w:p>
    <w:p w:rsidR="00F934C1" w:rsidRPr="00BB4B6E" w:rsidRDefault="009E3DFE" w:rsidP="00F934C1">
      <w:pPr>
        <w:tabs>
          <w:tab w:val="left" w:pos="2065"/>
        </w:tabs>
      </w:pPr>
      <w:r>
        <w:rPr>
          <w:noProof/>
        </w:rPr>
        <w:lastRenderedPageBreak/>
        <mc:AlternateContent>
          <mc:Choice Requires="wps">
            <w:drawing>
              <wp:anchor distT="0" distB="0" distL="114300" distR="114300" simplePos="0" relativeHeight="251646464" behindDoc="0" locked="0" layoutInCell="1" allowOverlap="1">
                <wp:simplePos x="0" y="0"/>
                <wp:positionH relativeFrom="column">
                  <wp:posOffset>2423795</wp:posOffset>
                </wp:positionH>
                <wp:positionV relativeFrom="paragraph">
                  <wp:posOffset>14605</wp:posOffset>
                </wp:positionV>
                <wp:extent cx="338455" cy="304800"/>
                <wp:effectExtent l="13970" t="5080" r="9525" b="13970"/>
                <wp:wrapNone/>
                <wp:docPr id="7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8455" cy="304800"/>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1" style="position:absolute;left:0;text-align:left;margin-left:190.85pt;margin-top:1.15pt;width:26.65pt;height:24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">
                <v:textbox>
                  <w:txbxContent>
                    <w:p w:rsidR="00EE4979" w:rsidRPr="0090635B" w:rsidRDefault="00EE4979" w:rsidP="00F934C1">
                      <w:pPr>
                        <w:rPr>
                          <w:b/>
                          <w:color w:val="00B0F0"/>
                        </w:rPr>
                      </w:pPr>
                      <w:r w:rsidRPr="0090635B">
                        <w:rPr>
                          <w:b/>
                          <w:color w:val="00B0F0"/>
                        </w:rPr>
                        <w:t>b</w:t>
                      </w:r>
                    </w:p>
                  </w:txbxContent>
                </v:textbox>
              </v:rect>
            </w:pict>
          </mc:Fallback>
        </mc:AlternateContent>
      </w:r>
      <w:r>
        <w:rPr>
          <w:noProof/>
        </w:rPr>
        <mc:AlternateContent>
          <mc:Choice Requires="wps">
            <w:drawing>
              <wp:anchor distT="0" distB="0" distL="114300" distR="114300" simplePos="0" relativeHeight="251647488" behindDoc="0" locked="0" layoutInCell="1" allowOverlap="1">
                <wp:simplePos x="0" y="0"/>
                <wp:positionH relativeFrom="column">
                  <wp:posOffset>29210</wp:posOffset>
                </wp:positionH>
                <wp:positionV relativeFrom="paragraph">
                  <wp:posOffset>5080</wp:posOffset>
                </wp:positionV>
                <wp:extent cx="349885" cy="304800"/>
                <wp:effectExtent l="10160" t="5080" r="11430" b="13970"/>
                <wp:wrapNone/>
                <wp:docPr id="7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885" cy="304800"/>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2" style="position:absolute;left:0;text-align:left;margin-left:2.3pt;margin-top:.4pt;width:27.55pt;height:24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">
                <v:textbox>
                  <w:txbxContent>
                    <w:p w:rsidR="00EE4979" w:rsidRPr="0090635B" w:rsidRDefault="00EE4979" w:rsidP="00F934C1">
                      <w:pPr>
                        <w:rPr>
                          <w:b/>
                          <w:color w:val="00B0F0"/>
                        </w:rPr>
                      </w:pPr>
                      <w:r w:rsidRPr="0090635B">
                        <w:rPr>
                          <w:b/>
                          <w:color w:val="00B0F0"/>
                        </w:rPr>
                        <w:t>a</w:t>
                      </w:r>
                    </w:p>
                  </w:txbxContent>
                </v:textbox>
              </v:rect>
            </w:pict>
          </mc:Fallback>
        </mc:AlternateContent>
      </w:r>
      <w:r w:rsidR="00F934C1" w:rsidRPr="00BB4B6E">
        <w:rPr>
          <w:noProof/>
        </w:rPr>
        <w:drawing>
          <wp:inline distT="0" distB="0" distL="0" distR="0" wp14:anchorId="3B6A5ADE" wp14:editId="7A2CB7C3">
            <wp:extent cx="2352582" cy="2392759"/>
            <wp:effectExtent l="19050" t="0" r="0" b="0"/>
            <wp:docPr id="95" name="Picture 11" descr="C:\Users\ADMIN\AppData\Local\Temp\Rar$DIa2112.28455\3_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AppData\Local\Temp\Rar$DIa2112.28455\3_12.tif"/>
                    <pic:cNvPicPr>
                      <a:picLocks noChangeAspect="1" noChangeArrowheads="1"/>
                    </pic:cNvPicPr>
                  </pic:nvPicPr>
                  <pic:blipFill>
                    <a:blip r:embed="rId15"/>
                    <a:srcRect/>
                    <a:stretch>
                      <a:fillRect/>
                    </a:stretch>
                  </pic:blipFill>
                  <pic:spPr bwMode="auto">
                    <a:xfrm>
                      <a:off x="0" y="0"/>
                      <a:ext cx="2364047" cy="2404420"/>
                    </a:xfrm>
                    <a:prstGeom prst="rect">
                      <a:avLst/>
                    </a:prstGeom>
                    <a:noFill/>
                    <a:ln w="9525">
                      <a:noFill/>
                      <a:miter lim="800000"/>
                      <a:headEnd/>
                      <a:tailEnd/>
                    </a:ln>
                  </pic:spPr>
                </pic:pic>
              </a:graphicData>
            </a:graphic>
          </wp:inline>
        </w:drawing>
      </w:r>
      <w:r w:rsidR="00F934C1" w:rsidRPr="00BB4B6E">
        <w:rPr>
          <w:noProof/>
        </w:rPr>
        <w:drawing>
          <wp:inline distT="0" distB="0" distL="0" distR="0" wp14:anchorId="20929EC4" wp14:editId="33E18079">
            <wp:extent cx="2466975" cy="2399094"/>
            <wp:effectExtent l="0" t="0" r="0" b="0"/>
            <wp:docPr id="25" name="Picture 4" descr="C:\Users\ADMIN\AppData\Local\Temp\Rar$DIa2112.23615\4_1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AppData\Local\Temp\Rar$DIa2112.23615\4_16.tif"/>
                    <pic:cNvPicPr>
                      <a:picLocks noChangeAspect="1" noChangeArrowheads="1"/>
                    </pic:cNvPicPr>
                  </pic:nvPicPr>
                  <pic:blipFill>
                    <a:blip r:embed="rId16"/>
                    <a:srcRect/>
                    <a:stretch>
                      <a:fillRect/>
                    </a:stretch>
                  </pic:blipFill>
                  <pic:spPr bwMode="auto">
                    <a:xfrm>
                      <a:off x="0" y="0"/>
                      <a:ext cx="2472637" cy="2404600"/>
                    </a:xfrm>
                    <a:prstGeom prst="rect">
                      <a:avLst/>
                    </a:prstGeom>
                    <a:noFill/>
                    <a:ln w="9525">
                      <a:noFill/>
                      <a:miter lim="800000"/>
                      <a:headEnd/>
                      <a:tailEnd/>
                    </a:ln>
                  </pic:spPr>
                </pic:pic>
              </a:graphicData>
            </a:graphic>
          </wp:inline>
        </w:drawing>
      </w:r>
    </w:p>
    <w:p w:rsidR="00F934C1" w:rsidRPr="00BB4B6E" w:rsidRDefault="00F934C1" w:rsidP="00F934C1">
      <w:pPr>
        <w:pStyle w:val="Heading5"/>
      </w:pPr>
      <w:bookmarkStart w:id="150" w:name="_Toc85462842"/>
      <w:bookmarkStart w:id="151" w:name="_Toc104379868"/>
      <w:bookmarkStart w:id="152" w:name="_Toc112877960"/>
      <w:bookmarkStart w:id="153" w:name="_Toc112880593"/>
      <w:bookmarkStart w:id="154" w:name="_Toc120047554"/>
      <w:bookmarkStart w:id="155" w:name="_Toc144222357"/>
      <w:r>
        <w:t>Figure</w:t>
      </w:r>
      <w:r w:rsidRPr="00BB4B6E">
        <w:t xml:space="preserve"> 4.</w:t>
      </w:r>
      <w:r w:rsidR="00C226E6" w:rsidRPr="00BB4B6E">
        <w:fldChar w:fldCharType="begin"/>
      </w:r>
      <w:r w:rsidRPr="00BB4B6E">
        <w:instrText xml:space="preserve"> SEQ Fig._4. \* ARABIC </w:instrText>
      </w:r>
      <w:r w:rsidR="00C226E6" w:rsidRPr="00BB4B6E">
        <w:fldChar w:fldCharType="separate"/>
      </w:r>
      <w:r w:rsidR="00301A90">
        <w:rPr>
          <w:noProof/>
        </w:rPr>
        <w:t>1</w:t>
      </w:r>
      <w:r w:rsidR="00C226E6" w:rsidRPr="00BB4B6E">
        <w:fldChar w:fldCharType="end"/>
      </w:r>
      <w:r w:rsidRPr="00BB4B6E">
        <w:t>: (a) SEM image of bone NPK Nano and (b) SEM image of synthetic NPK Nano</w:t>
      </w:r>
      <w:bookmarkEnd w:id="150"/>
      <w:bookmarkEnd w:id="151"/>
      <w:bookmarkEnd w:id="152"/>
      <w:bookmarkEnd w:id="153"/>
      <w:bookmarkEnd w:id="154"/>
      <w:bookmarkEnd w:id="155"/>
    </w:p>
    <w:p w:rsidR="00F934C1" w:rsidRPr="00BB4B6E" w:rsidRDefault="00F934C1" w:rsidP="00F934C1">
      <w:pPr>
        <w:tabs>
          <w:tab w:val="left" w:pos="2065"/>
        </w:tabs>
      </w:pPr>
    </w:p>
    <w:p w:rsidR="00F934C1" w:rsidRPr="00BB4B6E" w:rsidRDefault="00F934C1" w:rsidP="00F934C1">
      <w:pPr>
        <w:tabs>
          <w:tab w:val="left" w:pos="2065"/>
        </w:tabs>
      </w:pPr>
      <w:r w:rsidRPr="00BB4B6E">
        <w:t>The SEM</w:t>
      </w:r>
      <w:r w:rsidR="002D066D">
        <w:t xml:space="preserve"> </w:t>
      </w:r>
      <w:r w:rsidR="002D066D">
        <w:rPr>
          <w:color w:val="0E101A"/>
        </w:rPr>
        <w:t>(Scanning Elecron Microscopy)</w:t>
      </w:r>
      <w:r w:rsidRPr="00BB4B6E">
        <w:t xml:space="preserve"> images show the nanoparticles consist of constricted spherical crystallites with an average size of 24-35 nm and they show formation of agglomerates. The synthetic nano-fertilizers surface texture and morphology have rigid, rough and constricted agglomerated surface (Fig 4.1(b) and 4.3(b)). However, the bone nano-fertilizers have a slight change in surface morphology with stronger, rougher and more rigid pocket like adsorption sites. This can be attributed to natural strength and structure of nanohydroxyapatite bones. The bone nanofertilizers and their combination had lower level of agglomeration than synthetic nHA nanofertilizers and their combinations. This signifies that the bone nHA nanofertilizers have higher number of adsorption sites than synthetic nHA nanofertilizers (Tarfadar </w:t>
      </w:r>
      <w:r w:rsidRPr="00BB4B6E">
        <w:rPr>
          <w:i/>
        </w:rPr>
        <w:t>et al</w:t>
      </w:r>
      <w:r w:rsidRPr="00BB4B6E">
        <w:t>., 2020).</w:t>
      </w:r>
    </w:p>
    <w:p w:rsidR="00F934C1" w:rsidRPr="00BB4B6E" w:rsidRDefault="00F934C1" w:rsidP="00F934C1">
      <w:pPr>
        <w:rPr>
          <w:color w:val="FF0000"/>
        </w:rPr>
      </w:pPr>
    </w:p>
    <w:p w:rsidR="00F934C1" w:rsidRPr="00BB4B6E" w:rsidRDefault="00F934C1" w:rsidP="00F934C1">
      <w:pPr>
        <w:pStyle w:val="Heading3"/>
      </w:pPr>
      <w:bookmarkStart w:id="156" w:name="_Toc144820056"/>
      <w:r w:rsidRPr="00BB4B6E">
        <w:lastRenderedPageBreak/>
        <w:t xml:space="preserve">4.3.2 </w:t>
      </w:r>
      <w:r w:rsidRPr="00440801">
        <w:t>XRD</w:t>
      </w:r>
      <w:r w:rsidRPr="00BB4B6E">
        <w:t xml:space="preserve"> Analysis</w:t>
      </w:r>
      <w:bookmarkEnd w:id="156"/>
    </w:p>
    <w:p w:rsidR="00F934C1" w:rsidRDefault="00F934C1" w:rsidP="00F934C1">
      <w:pPr>
        <w:rPr>
          <w:color w:val="0E101A"/>
        </w:rPr>
      </w:pPr>
      <w:r w:rsidRPr="00BB4B6E">
        <w:t xml:space="preserve">Figure 4.4 to 4.7 shows </w:t>
      </w:r>
      <w:r w:rsidRPr="00BB4B6E">
        <w:rPr>
          <w:color w:val="0E101A"/>
        </w:rPr>
        <w:t>X</w:t>
      </w:r>
      <w:r w:rsidRPr="00BB4B6E">
        <w:t xml:space="preserve">-ray diffraction (XRD) micrograph </w:t>
      </w:r>
      <w:r w:rsidRPr="00BB4B6E">
        <w:rPr>
          <w:color w:val="0E101A"/>
        </w:rPr>
        <w:t xml:space="preserve">observed </w:t>
      </w:r>
      <w:r w:rsidRPr="00BB4B6E">
        <w:t xml:space="preserve">using an X-ray diffractometer (RIGAKU) at </w:t>
      </w:r>
      <w:r w:rsidRPr="00BB4B6E">
        <w:rPr>
          <w:color w:val="0E101A"/>
        </w:rPr>
        <w:t>Indian Institute of science and Technology.</w:t>
      </w:r>
    </w:p>
    <w:p w:rsidR="00F934C1" w:rsidRDefault="00F934C1" w:rsidP="00F934C1">
      <w:pPr>
        <w:rPr>
          <w:color w:val="0E101A"/>
        </w:rPr>
      </w:pPr>
    </w:p>
    <w:p w:rsidR="00F934C1" w:rsidRDefault="009E3DFE" w:rsidP="00F934C1">
      <w:pPr>
        <w:rPr>
          <w:color w:val="0E101A"/>
        </w:rPr>
      </w:pPr>
      <w:r>
        <w:rPr>
          <w:noProof/>
          <w:color w:val="0E101A"/>
        </w:rPr>
        <mc:AlternateContent>
          <mc:Choice Requires="wps">
            <w:drawing>
              <wp:anchor distT="0" distB="0" distL="114300" distR="114300" simplePos="0" relativeHeight="251670016" behindDoc="0" locked="0" layoutInCell="1" allowOverlap="1">
                <wp:simplePos x="0" y="0"/>
                <wp:positionH relativeFrom="column">
                  <wp:posOffset>2940050</wp:posOffset>
                </wp:positionH>
                <wp:positionV relativeFrom="paragraph">
                  <wp:posOffset>359410</wp:posOffset>
                </wp:positionV>
                <wp:extent cx="294005" cy="301625"/>
                <wp:effectExtent l="6350" t="6985" r="13970" b="5715"/>
                <wp:wrapNone/>
                <wp:docPr id="74"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005" cy="301625"/>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Pr>
                                <w:b/>
                                <w:color w:val="00B0F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33" style="position:absolute;left:0;text-align:left;margin-left:231.5pt;margin-top:28.3pt;width:23.15pt;height:23.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">
                <v:textbox>
                  <w:txbxContent>
                    <w:p w:rsidR="00EE4979" w:rsidRPr="0090635B" w:rsidRDefault="00EE4979" w:rsidP="00F934C1">
                      <w:pPr>
                        <w:rPr>
                          <w:b/>
                          <w:color w:val="00B0F0"/>
                        </w:rPr>
                      </w:pPr>
                      <w:r>
                        <w:rPr>
                          <w:b/>
                          <w:color w:val="00B0F0"/>
                        </w:rPr>
                        <w:t>b</w:t>
                      </w:r>
                    </w:p>
                  </w:txbxContent>
                </v:textbox>
              </v:rect>
            </w:pict>
          </mc:Fallback>
        </mc:AlternateContent>
      </w:r>
      <w:r>
        <w:rPr>
          <w:noProof/>
          <w:color w:val="0E101A"/>
        </w:rPr>
        <mc:AlternateContent>
          <mc:Choice Requires="wps">
            <w:drawing>
              <wp:anchor distT="0" distB="0" distL="114300" distR="114300" simplePos="0" relativeHeight="251668992" behindDoc="0" locked="0" layoutInCell="1" allowOverlap="1">
                <wp:simplePos x="0" y="0"/>
                <wp:positionH relativeFrom="column">
                  <wp:posOffset>463550</wp:posOffset>
                </wp:positionH>
                <wp:positionV relativeFrom="paragraph">
                  <wp:posOffset>306070</wp:posOffset>
                </wp:positionV>
                <wp:extent cx="275590" cy="273685"/>
                <wp:effectExtent l="6350" t="10795" r="13335" b="10795"/>
                <wp:wrapNone/>
                <wp:docPr id="73"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75590" cy="273685"/>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34" style="position:absolute;left:0;text-align:left;margin-left:36.5pt;margin-top:24.1pt;width:21.7pt;height:21.55pt;flip:y;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">
                <v:textbox>
                  <w:txbxContent>
                    <w:p w:rsidR="00EE4979" w:rsidRPr="0090635B" w:rsidRDefault="00EE4979" w:rsidP="00F934C1">
                      <w:pPr>
                        <w:rPr>
                          <w:b/>
                          <w:color w:val="00B0F0"/>
                        </w:rPr>
                      </w:pPr>
                      <w:r w:rsidRPr="0090635B">
                        <w:rPr>
                          <w:b/>
                          <w:color w:val="00B0F0"/>
                        </w:rPr>
                        <w:t>a</w:t>
                      </w:r>
                    </w:p>
                  </w:txbxContent>
                </v:textbox>
              </v:rect>
            </w:pict>
          </mc:Fallback>
        </mc:AlternateContent>
      </w:r>
      <w:r>
        <w:rPr>
          <w:noProof/>
          <w:color w:val="0E101A"/>
        </w:rPr>
        <mc:AlternateContent>
          <mc:Choice Requires="wps">
            <w:drawing>
              <wp:anchor distT="0" distB="0" distL="114300" distR="114300" simplePos="0" relativeHeight="251672064" behindDoc="0" locked="0" layoutInCell="1" allowOverlap="1">
                <wp:simplePos x="0" y="0"/>
                <wp:positionH relativeFrom="column">
                  <wp:posOffset>729615</wp:posOffset>
                </wp:positionH>
                <wp:positionV relativeFrom="paragraph">
                  <wp:posOffset>2694305</wp:posOffset>
                </wp:positionV>
                <wp:extent cx="1092200" cy="257175"/>
                <wp:effectExtent l="5715" t="8255" r="6985" b="10795"/>
                <wp:wrapNone/>
                <wp:docPr id="7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0" cy="257175"/>
                        </a:xfrm>
                        <a:prstGeom prst="rect">
                          <a:avLst/>
                        </a:prstGeom>
                        <a:solidFill>
                          <a:srgbClr val="FFFFFF"/>
                        </a:solidFill>
                        <a:ln w="9525">
                          <a:solidFill>
                            <a:srgbClr val="000000"/>
                          </a:solidFill>
                          <a:miter lim="800000"/>
                          <a:headEnd/>
                          <a:tailEnd/>
                        </a:ln>
                      </wps:spPr>
                      <wps:txbx>
                        <w:txbxContent>
                          <w:p w:rsidR="00EE4979" w:rsidRDefault="00EE4979" w:rsidP="00F934C1">
                            <w:r>
                              <w:rPr>
                                <w:color w:val="000000"/>
                                <w:lang w:eastAsia="en-GB"/>
                              </w:rPr>
                              <w:t>Bragg’s angle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35" style="position:absolute;left:0;text-align:left;margin-left:57.45pt;margin-top:212.15pt;width:86pt;height:20.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">
                <v:textbox>
                  <w:txbxContent>
                    <w:p w:rsidR="00EE4979" w:rsidRDefault="00EE4979" w:rsidP="00F934C1">
                      <w:r>
                        <w:rPr>
                          <w:color w:val="000000"/>
                          <w:lang w:eastAsia="en-GB"/>
                        </w:rPr>
                        <w:t>Bragg’s angle</w:t>
                      </w:r>
                    </w:p>
                  </w:txbxContent>
                </v:textbox>
              </v:rect>
            </w:pict>
          </mc:Fallback>
        </mc:AlternateContent>
      </w:r>
      <w:r>
        <w:rPr>
          <w:noProof/>
          <w:color w:val="0E101A"/>
        </w:rPr>
        <mc:AlternateContent>
          <mc:Choice Requires="wps">
            <w:drawing>
              <wp:anchor distT="0" distB="0" distL="114300" distR="114300" simplePos="0" relativeHeight="251671040" behindDoc="0" locked="0" layoutInCell="1" allowOverlap="1">
                <wp:simplePos x="0" y="0"/>
                <wp:positionH relativeFrom="column">
                  <wp:posOffset>3386455</wp:posOffset>
                </wp:positionH>
                <wp:positionV relativeFrom="paragraph">
                  <wp:posOffset>2640965</wp:posOffset>
                </wp:positionV>
                <wp:extent cx="1117600" cy="310515"/>
                <wp:effectExtent l="5080" t="12065" r="10795" b="1079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7600" cy="310515"/>
                        </a:xfrm>
                        <a:prstGeom prst="rect">
                          <a:avLst/>
                        </a:prstGeom>
                        <a:solidFill>
                          <a:srgbClr val="FFFFFF"/>
                        </a:solidFill>
                        <a:ln w="9525">
                          <a:solidFill>
                            <a:srgbClr val="000000"/>
                          </a:solidFill>
                          <a:miter lim="800000"/>
                          <a:headEnd/>
                          <a:tailEnd/>
                        </a:ln>
                      </wps:spPr>
                      <wps:txbx>
                        <w:txbxContent>
                          <w:p w:rsidR="00EE4979" w:rsidRDefault="00EE4979" w:rsidP="00F934C1">
                            <w:r>
                              <w:rPr>
                                <w:color w:val="000000"/>
                                <w:lang w:eastAsia="en-GB"/>
                              </w:rPr>
                              <w:t>Bragg’s angle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36" style="position:absolute;left:0;text-align:left;margin-left:266.65pt;margin-top:207.95pt;width:88pt;height:24.4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">
                <v:textbox>
                  <w:txbxContent>
                    <w:p w:rsidR="00EE4979" w:rsidRDefault="00EE4979" w:rsidP="00F934C1">
                      <w:r>
                        <w:rPr>
                          <w:color w:val="000000"/>
                          <w:lang w:eastAsia="en-GB"/>
                        </w:rPr>
                        <w:t>Bragg’s angle</w:t>
                      </w:r>
                    </w:p>
                  </w:txbxContent>
                </v:textbox>
              </v:rect>
            </w:pict>
          </mc:Fallback>
        </mc:AlternateContent>
      </w:r>
      <w:r w:rsidR="00F934C1" w:rsidRPr="00432638">
        <w:rPr>
          <w:noProof/>
          <w:color w:val="0E101A"/>
        </w:rPr>
        <w:drawing>
          <wp:inline distT="0" distB="0" distL="0" distR="0" wp14:anchorId="6D0A6F6E" wp14:editId="4461C81F">
            <wp:extent cx="2467320" cy="2680368"/>
            <wp:effectExtent l="19050" t="0" r="9180" b="0"/>
            <wp:docPr id="1" name="Picture 1" descr="C:\Users\ADMIN\AppData\Local\Temp\Rar$DIa10404.49936\1 repe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AppData\Local\Temp\Rar$DIa10404.49936\1 repeat.jpg"/>
                    <pic:cNvPicPr>
                      <a:picLocks noChangeAspect="1" noChangeArrowheads="1"/>
                    </pic:cNvPicPr>
                  </pic:nvPicPr>
                  <pic:blipFill>
                    <a:blip r:embed="rId17" cstate="print"/>
                    <a:srcRect/>
                    <a:stretch>
                      <a:fillRect/>
                    </a:stretch>
                  </pic:blipFill>
                  <pic:spPr bwMode="auto">
                    <a:xfrm>
                      <a:off x="0" y="0"/>
                      <a:ext cx="2491203" cy="2706313"/>
                    </a:xfrm>
                    <a:prstGeom prst="rect">
                      <a:avLst/>
                    </a:prstGeom>
                    <a:noFill/>
                    <a:ln w="9525">
                      <a:noFill/>
                      <a:miter lim="800000"/>
                      <a:headEnd/>
                      <a:tailEnd/>
                    </a:ln>
                  </pic:spPr>
                </pic:pic>
              </a:graphicData>
            </a:graphic>
          </wp:inline>
        </w:drawing>
      </w:r>
      <w:r w:rsidR="00F934C1" w:rsidRPr="00432638">
        <w:rPr>
          <w:noProof/>
          <w:color w:val="0E101A"/>
        </w:rPr>
        <w:drawing>
          <wp:inline distT="0" distB="0" distL="0" distR="0" wp14:anchorId="76471C29" wp14:editId="21103500">
            <wp:extent cx="2355085" cy="2618913"/>
            <wp:effectExtent l="19050" t="0" r="7115" b="0"/>
            <wp:docPr id="2" name="Picture 2" descr="C:\Users\ADMIN\AppData\Local\Temp\Rar$DIa10404.6302\2 repe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AppData\Local\Temp\Rar$DIa10404.6302\2 repeat.jpg"/>
                    <pic:cNvPicPr>
                      <a:picLocks noChangeAspect="1" noChangeArrowheads="1"/>
                    </pic:cNvPicPr>
                  </pic:nvPicPr>
                  <pic:blipFill>
                    <a:blip r:embed="rId18" cstate="print"/>
                    <a:srcRect/>
                    <a:stretch>
                      <a:fillRect/>
                    </a:stretch>
                  </pic:blipFill>
                  <pic:spPr bwMode="auto">
                    <a:xfrm>
                      <a:off x="0" y="0"/>
                      <a:ext cx="2391376" cy="2659269"/>
                    </a:xfrm>
                    <a:prstGeom prst="rect">
                      <a:avLst/>
                    </a:prstGeom>
                    <a:noFill/>
                    <a:ln w="9525">
                      <a:noFill/>
                      <a:miter lim="800000"/>
                      <a:headEnd/>
                      <a:tailEnd/>
                    </a:ln>
                  </pic:spPr>
                </pic:pic>
              </a:graphicData>
            </a:graphic>
          </wp:inline>
        </w:drawing>
      </w:r>
    </w:p>
    <w:p w:rsidR="00F934C1" w:rsidRDefault="00F934C1" w:rsidP="00F934C1">
      <w:pPr>
        <w:rPr>
          <w:color w:val="0E101A"/>
        </w:rPr>
      </w:pPr>
    </w:p>
    <w:p w:rsidR="00F934C1" w:rsidRPr="00440801" w:rsidRDefault="00F934C1" w:rsidP="00F934C1">
      <w:pPr>
        <w:pStyle w:val="Heading5"/>
      </w:pPr>
      <w:bookmarkStart w:id="157" w:name="_Toc144222358"/>
      <w:r w:rsidRPr="00440801">
        <w:t>Figure 4.</w:t>
      </w:r>
      <w:r w:rsidR="00C226E6">
        <w:fldChar w:fldCharType="begin"/>
      </w:r>
      <w:r>
        <w:instrText xml:space="preserve"> SEQ Fig._4. \* ARABIC </w:instrText>
      </w:r>
      <w:r w:rsidR="00C226E6">
        <w:fldChar w:fldCharType="separate"/>
      </w:r>
      <w:r w:rsidR="00301A90">
        <w:rPr>
          <w:noProof/>
        </w:rPr>
        <w:t>2</w:t>
      </w:r>
      <w:r w:rsidR="00C226E6">
        <w:fldChar w:fldCharType="end"/>
      </w:r>
      <w:r w:rsidRPr="00440801">
        <w:t>: (a): XRD image of bone nHA and (b) XRD image of synthetic nHA</w:t>
      </w:r>
      <w:bookmarkEnd w:id="157"/>
    </w:p>
    <w:p w:rsidR="00F934C1" w:rsidRPr="00BB4B6E" w:rsidRDefault="00F934C1" w:rsidP="00F934C1">
      <w:pPr>
        <w:rPr>
          <w:color w:val="0E101A"/>
        </w:rPr>
        <w:sectPr w:rsidR="00F934C1" w:rsidRPr="00BB4B6E" w:rsidSect="00F934C1">
          <w:headerReference w:type="default" r:id="rId19"/>
          <w:type w:val="nextColumn"/>
          <w:pgSz w:w="11906" w:h="16838" w:code="9"/>
          <w:pgMar w:top="1728" w:right="1440" w:bottom="1440" w:left="2304" w:header="720" w:footer="720" w:gutter="0"/>
          <w:pgNumType w:start="1"/>
          <w:cols w:space="720"/>
          <w:titlePg/>
          <w:docGrid w:linePitch="360"/>
        </w:sectPr>
      </w:pPr>
    </w:p>
    <w:p w:rsidR="00F934C1" w:rsidRDefault="009E3DFE" w:rsidP="00F934C1">
      <w:pPr>
        <w:rPr>
          <w:color w:val="000000"/>
          <w:lang w:eastAsia="en-GB"/>
        </w:rPr>
      </w:pPr>
      <w:r>
        <w:rPr>
          <w:noProof/>
        </w:rPr>
        <w:lastRenderedPageBreak/>
        <mc:AlternateContent>
          <mc:Choice Requires="wps">
            <w:drawing>
              <wp:anchor distT="0" distB="0" distL="114300" distR="114300" simplePos="0" relativeHeight="251649536" behindDoc="0" locked="0" layoutInCell="1" allowOverlap="1">
                <wp:simplePos x="0" y="0"/>
                <wp:positionH relativeFrom="column">
                  <wp:posOffset>2904490</wp:posOffset>
                </wp:positionH>
                <wp:positionV relativeFrom="paragraph">
                  <wp:posOffset>394335</wp:posOffset>
                </wp:positionV>
                <wp:extent cx="328930" cy="259715"/>
                <wp:effectExtent l="8890" t="13335" r="5080" b="12700"/>
                <wp:wrapNone/>
                <wp:docPr id="3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930" cy="259715"/>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7" style="position:absolute;left:0;text-align:left;margin-left:228.7pt;margin-top:31.05pt;width:25.9pt;height:20.4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">
                <v:textbox>
                  <w:txbxContent>
                    <w:p w:rsidR="00EE4979" w:rsidRPr="0090635B" w:rsidRDefault="00EE4979" w:rsidP="00F934C1">
                      <w:pPr>
                        <w:rPr>
                          <w:b/>
                          <w:color w:val="00B0F0"/>
                        </w:rPr>
                      </w:pPr>
                      <w:r w:rsidRPr="0090635B">
                        <w:rPr>
                          <w:b/>
                          <w:color w:val="00B0F0"/>
                        </w:rPr>
                        <w:t>b</w:t>
                      </w:r>
                    </w:p>
                  </w:txbxContent>
                </v:textbox>
              </v:rect>
            </w:pict>
          </mc:Fallback>
        </mc:AlternateContent>
      </w:r>
      <w:r>
        <w:rPr>
          <w:noProof/>
        </w:rPr>
        <mc:AlternateContent>
          <mc:Choice Requires="wps">
            <w:drawing>
              <wp:anchor distT="0" distB="0" distL="114300" distR="114300" simplePos="0" relativeHeight="251648512" behindDoc="0" locked="0" layoutInCell="1" allowOverlap="1">
                <wp:simplePos x="0" y="0"/>
                <wp:positionH relativeFrom="column">
                  <wp:posOffset>457200</wp:posOffset>
                </wp:positionH>
                <wp:positionV relativeFrom="paragraph">
                  <wp:posOffset>340995</wp:posOffset>
                </wp:positionV>
                <wp:extent cx="338455" cy="313055"/>
                <wp:effectExtent l="9525" t="7620" r="13970" b="12700"/>
                <wp:wrapNone/>
                <wp:docPr id="2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8455" cy="313055"/>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8" style="position:absolute;left:0;text-align:left;margin-left:36pt;margin-top:26.85pt;width:26.65pt;height:24.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">
                <v:textbox>
                  <w:txbxContent>
                    <w:p w:rsidR="00EE4979" w:rsidRPr="0090635B" w:rsidRDefault="00EE4979" w:rsidP="00F934C1">
                      <w:pPr>
                        <w:rPr>
                          <w:b/>
                          <w:color w:val="00B0F0"/>
                        </w:rPr>
                      </w:pPr>
                      <w:r w:rsidRPr="0090635B">
                        <w:rPr>
                          <w:b/>
                          <w:color w:val="00B0F0"/>
                        </w:rPr>
                        <w:t>a</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3128010</wp:posOffset>
                </wp:positionH>
                <wp:positionV relativeFrom="paragraph">
                  <wp:posOffset>2952750</wp:posOffset>
                </wp:positionV>
                <wp:extent cx="1151255" cy="327660"/>
                <wp:effectExtent l="13335" t="9525" r="6985" b="5715"/>
                <wp:wrapNone/>
                <wp:docPr id="2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1255" cy="327660"/>
                        </a:xfrm>
                        <a:prstGeom prst="rect">
                          <a:avLst/>
                        </a:prstGeom>
                        <a:solidFill>
                          <a:srgbClr val="FFFFFF"/>
                        </a:solidFill>
                        <a:ln w="9525">
                          <a:solidFill>
                            <a:srgbClr val="000000"/>
                          </a:solidFill>
                          <a:miter lim="800000"/>
                          <a:headEnd/>
                          <a:tailEnd/>
                        </a:ln>
                      </wps:spPr>
                      <wps:txbx>
                        <w:txbxContent>
                          <w:p w:rsidR="00EE4979" w:rsidRDefault="00EE4979" w:rsidP="00F934C1">
                            <w:r>
                              <w:rPr>
                                <w:color w:val="000000"/>
                                <w:lang w:eastAsia="en-GB"/>
                              </w:rPr>
                              <w:t>Bragg’s angle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9" type="#_x0000_t202" style="position:absolute;left:0;text-align:left;margin-left:246.3pt;margin-top:232.5pt;width:90.65pt;height:25.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">
                <v:textbox>
                  <w:txbxContent>
                    <w:p w:rsidR="00EE4979" w:rsidRDefault="00EE4979" w:rsidP="00F934C1">
                      <w:r>
                        <w:rPr>
                          <w:color w:val="000000"/>
                          <w:lang w:eastAsia="en-GB"/>
                        </w:rPr>
                        <w:t>Bragg’s angle</w:t>
                      </w:r>
                    </w:p>
                  </w:txbxContent>
                </v:textbox>
              </v:shape>
            </w:pict>
          </mc:Fallback>
        </mc:AlternateContent>
      </w:r>
      <w:r>
        <w:rPr>
          <w:noProof/>
        </w:rPr>
        <mc:AlternateContent>
          <mc:Choice Requires="wps">
            <w:drawing>
              <wp:anchor distT="0" distB="0" distL="114300" distR="114300" simplePos="0" relativeHeight="251654656" behindDoc="0" locked="0" layoutInCell="1" allowOverlap="1">
                <wp:simplePos x="0" y="0"/>
                <wp:positionH relativeFrom="column">
                  <wp:posOffset>344170</wp:posOffset>
                </wp:positionH>
                <wp:positionV relativeFrom="paragraph">
                  <wp:posOffset>3006725</wp:posOffset>
                </wp:positionV>
                <wp:extent cx="1106170" cy="327660"/>
                <wp:effectExtent l="10795" t="6350" r="6985" b="8890"/>
                <wp:wrapNone/>
                <wp:docPr id="27"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6170" cy="327660"/>
                        </a:xfrm>
                        <a:prstGeom prst="rect">
                          <a:avLst/>
                        </a:prstGeom>
                        <a:solidFill>
                          <a:srgbClr val="FFFFFF"/>
                        </a:solidFill>
                        <a:ln w="9525">
                          <a:solidFill>
                            <a:srgbClr val="000000"/>
                          </a:solidFill>
                          <a:miter lim="800000"/>
                          <a:headEnd/>
                          <a:tailEnd/>
                        </a:ln>
                      </wps:spPr>
                      <wps:txbx>
                        <w:txbxContent>
                          <w:p w:rsidR="00EE4979" w:rsidRDefault="00EE4979" w:rsidP="00F934C1">
                            <w:r>
                              <w:rPr>
                                <w:color w:val="000000"/>
                                <w:lang w:eastAsia="en-GB"/>
                              </w:rPr>
                              <w:t>Bragg’s angle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40" style="position:absolute;left:0;text-align:left;margin-left:27.1pt;margin-top:236.75pt;width:87.1pt;height:25.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">
                <v:textbox>
                  <w:txbxContent>
                    <w:p w:rsidR="00EE4979" w:rsidRDefault="00EE4979" w:rsidP="00F934C1">
                      <w:r>
                        <w:rPr>
                          <w:color w:val="000000"/>
                          <w:lang w:eastAsia="en-GB"/>
                        </w:rPr>
                        <w:t>Bragg’s angle</w:t>
                      </w:r>
                    </w:p>
                  </w:txbxContent>
                </v:textbox>
              </v:rect>
            </w:pict>
          </mc:Fallback>
        </mc:AlternateContent>
      </w:r>
      <w:r w:rsidR="00F934C1" w:rsidRPr="00BB4B6E">
        <w:rPr>
          <w:noProof/>
        </w:rPr>
        <w:drawing>
          <wp:inline distT="0" distB="0" distL="0" distR="0" wp14:anchorId="05CE0E41" wp14:editId="4D059181">
            <wp:extent cx="2440064" cy="2955288"/>
            <wp:effectExtent l="19050" t="0" r="0" b="0"/>
            <wp:docPr id="64" name="Picture 4" descr="C:\Users\ADMIN\AppData\Local\Temp\Rar$DIa10404.30460\4 repe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AppData\Local\Temp\Rar$DIa10404.30460\4 repeat.jpg"/>
                    <pic:cNvPicPr>
                      <a:picLocks noChangeAspect="1" noChangeArrowheads="1"/>
                    </pic:cNvPicPr>
                  </pic:nvPicPr>
                  <pic:blipFill>
                    <a:blip r:embed="rId20" cstate="print"/>
                    <a:srcRect/>
                    <a:stretch>
                      <a:fillRect/>
                    </a:stretch>
                  </pic:blipFill>
                  <pic:spPr bwMode="auto">
                    <a:xfrm>
                      <a:off x="0" y="0"/>
                      <a:ext cx="2443719" cy="2959715"/>
                    </a:xfrm>
                    <a:prstGeom prst="rect">
                      <a:avLst/>
                    </a:prstGeom>
                    <a:noFill/>
                    <a:ln w="9525">
                      <a:noFill/>
                      <a:miter lim="800000"/>
                      <a:headEnd/>
                      <a:tailEnd/>
                    </a:ln>
                  </pic:spPr>
                </pic:pic>
              </a:graphicData>
            </a:graphic>
          </wp:inline>
        </w:drawing>
      </w:r>
      <w:r w:rsidR="00F934C1" w:rsidRPr="00BB4B6E">
        <w:rPr>
          <w:noProof/>
        </w:rPr>
        <w:drawing>
          <wp:inline distT="0" distB="0" distL="0" distR="0" wp14:anchorId="69ABDD0C" wp14:editId="014C17BD">
            <wp:extent cx="2410043" cy="2913945"/>
            <wp:effectExtent l="0" t="0" r="0" b="0"/>
            <wp:docPr id="65" name="Picture 5" descr="C:\Users\ADMIN\AppData\Local\Temp\Rar$DIa10404.339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AppData\Local\Temp\Rar$DIa10404.33913\5.jpg"/>
                    <pic:cNvPicPr>
                      <a:picLocks noChangeAspect="1" noChangeArrowheads="1"/>
                    </pic:cNvPicPr>
                  </pic:nvPicPr>
                  <pic:blipFill>
                    <a:blip r:embed="rId21" cstate="print"/>
                    <a:srcRect/>
                    <a:stretch>
                      <a:fillRect/>
                    </a:stretch>
                  </pic:blipFill>
                  <pic:spPr bwMode="auto">
                    <a:xfrm>
                      <a:off x="0" y="0"/>
                      <a:ext cx="2437912" cy="2947642"/>
                    </a:xfrm>
                    <a:prstGeom prst="rect">
                      <a:avLst/>
                    </a:prstGeom>
                    <a:noFill/>
                    <a:ln w="9525">
                      <a:noFill/>
                      <a:miter lim="800000"/>
                      <a:headEnd/>
                      <a:tailEnd/>
                    </a:ln>
                  </pic:spPr>
                </pic:pic>
              </a:graphicData>
            </a:graphic>
          </wp:inline>
        </w:drawing>
      </w:r>
    </w:p>
    <w:p w:rsidR="00F934C1" w:rsidRPr="00BB4B6E" w:rsidRDefault="00F934C1" w:rsidP="00F934C1">
      <w:pPr>
        <w:rPr>
          <w:color w:val="000000"/>
          <w:lang w:eastAsia="en-GB"/>
        </w:rPr>
      </w:pPr>
    </w:p>
    <w:p w:rsidR="00F934C1" w:rsidRPr="008C5407" w:rsidRDefault="00F934C1" w:rsidP="00F934C1">
      <w:pPr>
        <w:pStyle w:val="Heading5"/>
      </w:pPr>
      <w:bookmarkStart w:id="158" w:name="_Toc143872499"/>
      <w:bookmarkStart w:id="159" w:name="_Toc144222359"/>
      <w:r w:rsidRPr="008C5407">
        <w:t>Figure 4.</w:t>
      </w:r>
      <w:r w:rsidR="00C226E6">
        <w:fldChar w:fldCharType="begin"/>
      </w:r>
      <w:r>
        <w:instrText xml:space="preserve"> SEQ Fig._4. \* ARABIC </w:instrText>
      </w:r>
      <w:r w:rsidR="00C226E6">
        <w:fldChar w:fldCharType="separate"/>
      </w:r>
      <w:r w:rsidR="00301A90">
        <w:rPr>
          <w:noProof/>
        </w:rPr>
        <w:t>3</w:t>
      </w:r>
      <w:r w:rsidR="00C226E6">
        <w:fldChar w:fldCharType="end"/>
      </w:r>
      <w:r w:rsidRPr="008C5407">
        <w:t>: (a): XRD image of bone DAP Nano and (b) XRD image of synthetic DAP Nano</w:t>
      </w:r>
      <w:bookmarkEnd w:id="158"/>
      <w:bookmarkEnd w:id="159"/>
    </w:p>
    <w:p w:rsidR="00F934C1" w:rsidRPr="00BB4B6E" w:rsidRDefault="009E3DFE" w:rsidP="00F934C1">
      <w:pPr>
        <w:pStyle w:val="Caption"/>
        <w:jc w:val="center"/>
      </w:pPr>
      <w:r>
        <w:rPr>
          <w:noProof/>
        </w:rPr>
        <mc:AlternateContent>
          <mc:Choice Requires="wps">
            <w:drawing>
              <wp:anchor distT="0" distB="0" distL="114300" distR="114300" simplePos="0" relativeHeight="251651584" behindDoc="0" locked="0" layoutInCell="1" allowOverlap="1">
                <wp:simplePos x="0" y="0"/>
                <wp:positionH relativeFrom="column">
                  <wp:posOffset>3009900</wp:posOffset>
                </wp:positionH>
                <wp:positionV relativeFrom="paragraph">
                  <wp:posOffset>408305</wp:posOffset>
                </wp:positionV>
                <wp:extent cx="304800" cy="293370"/>
                <wp:effectExtent l="9525" t="8255" r="9525" b="12700"/>
                <wp:wrapNone/>
                <wp:docPr id="2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93370"/>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41" style="position:absolute;left:0;text-align:left;margin-left:237pt;margin-top:32.15pt;width:24pt;height:23.1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">
                <v:textbox>
                  <w:txbxContent>
                    <w:p w:rsidR="00EE4979" w:rsidRPr="0090635B" w:rsidRDefault="00EE4979" w:rsidP="00F934C1">
                      <w:pPr>
                        <w:rPr>
                          <w:b/>
                          <w:color w:val="00B0F0"/>
                        </w:rPr>
                      </w:pPr>
                      <w:r w:rsidRPr="0090635B">
                        <w:rPr>
                          <w:b/>
                          <w:color w:val="00B0F0"/>
                        </w:rPr>
                        <w:t>b</w:t>
                      </w:r>
                    </w:p>
                  </w:txbxContent>
                </v:textbox>
              </v:rect>
            </w:pict>
          </mc:Fallback>
        </mc:AlternateContent>
      </w:r>
      <w:r>
        <w:rPr>
          <w:noProof/>
        </w:rPr>
        <mc:AlternateContent>
          <mc:Choice Requires="wps">
            <w:drawing>
              <wp:anchor distT="0" distB="0" distL="114300" distR="114300" simplePos="0" relativeHeight="251650560" behindDoc="0" locked="0" layoutInCell="1" allowOverlap="1">
                <wp:simplePos x="0" y="0"/>
                <wp:positionH relativeFrom="column">
                  <wp:posOffset>502285</wp:posOffset>
                </wp:positionH>
                <wp:positionV relativeFrom="paragraph">
                  <wp:posOffset>378460</wp:posOffset>
                </wp:positionV>
                <wp:extent cx="259715" cy="281940"/>
                <wp:effectExtent l="6985" t="6985" r="9525" b="6350"/>
                <wp:wrapNone/>
                <wp:docPr id="2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715" cy="281940"/>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42" style="position:absolute;left:0;text-align:left;margin-left:39.55pt;margin-top:29.8pt;width:20.45pt;height:22.2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">
                <v:textbox>
                  <w:txbxContent>
                    <w:p w:rsidR="00EE4979" w:rsidRPr="0090635B" w:rsidRDefault="00EE4979" w:rsidP="00F934C1">
                      <w:pPr>
                        <w:rPr>
                          <w:b/>
                          <w:color w:val="00B0F0"/>
                        </w:rPr>
                      </w:pPr>
                      <w:r w:rsidRPr="0090635B">
                        <w:rPr>
                          <w:b/>
                          <w:color w:val="00B0F0"/>
                        </w:rPr>
                        <w:t>a</w:t>
                      </w:r>
                    </w:p>
                  </w:txbxContent>
                </v:textbox>
              </v:rect>
            </w:pict>
          </mc:Fallback>
        </mc:AlternateContent>
      </w:r>
      <w:r w:rsidR="00F934C1" w:rsidRPr="00BB4B6E">
        <w:rPr>
          <w:noProof/>
        </w:rPr>
        <w:drawing>
          <wp:inline distT="0" distB="0" distL="0" distR="0" wp14:anchorId="5F37633B" wp14:editId="6AE6C9C4">
            <wp:extent cx="2508422" cy="3130615"/>
            <wp:effectExtent l="0" t="0" r="0" b="0"/>
            <wp:docPr id="66" name="Picture 3" descr="C:\Users\ADMIN\AppData\Local\Temp\Rar$DIa10404.24272\3 repe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AppData\Local\Temp\Rar$DIa10404.24272\3 repeat.jpg"/>
                    <pic:cNvPicPr>
                      <a:picLocks noChangeAspect="1" noChangeArrowheads="1"/>
                    </pic:cNvPicPr>
                  </pic:nvPicPr>
                  <pic:blipFill>
                    <a:blip r:embed="rId22" cstate="print"/>
                    <a:srcRect/>
                    <a:stretch>
                      <a:fillRect/>
                    </a:stretch>
                  </pic:blipFill>
                  <pic:spPr bwMode="auto">
                    <a:xfrm>
                      <a:off x="0" y="0"/>
                      <a:ext cx="2524797" cy="3151052"/>
                    </a:xfrm>
                    <a:prstGeom prst="rect">
                      <a:avLst/>
                    </a:prstGeom>
                    <a:noFill/>
                    <a:ln w="9525">
                      <a:noFill/>
                      <a:miter lim="800000"/>
                      <a:headEnd/>
                      <a:tailEnd/>
                    </a:ln>
                  </pic:spPr>
                </pic:pic>
              </a:graphicData>
            </a:graphic>
          </wp:inline>
        </w:drawing>
      </w:r>
      <w:r w:rsidR="00F934C1" w:rsidRPr="00BB4B6E">
        <w:rPr>
          <w:noProof/>
        </w:rPr>
        <w:drawing>
          <wp:inline distT="0" distB="0" distL="0" distR="0" wp14:anchorId="32D748C2" wp14:editId="080F0B54">
            <wp:extent cx="2644346" cy="3097392"/>
            <wp:effectExtent l="0" t="0" r="0" b="0"/>
            <wp:docPr id="67" name="Picture 7" descr="C:\Users\ADMIN\AppData\Local\Temp\Rar$DIa10404.414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AppData\Local\Temp\Rar$DIa10404.41442\7.jpg"/>
                    <pic:cNvPicPr>
                      <a:picLocks noChangeAspect="1" noChangeArrowheads="1"/>
                    </pic:cNvPicPr>
                  </pic:nvPicPr>
                  <pic:blipFill>
                    <a:blip r:embed="rId23" cstate="print"/>
                    <a:srcRect/>
                    <a:stretch>
                      <a:fillRect/>
                    </a:stretch>
                  </pic:blipFill>
                  <pic:spPr bwMode="auto">
                    <a:xfrm>
                      <a:off x="0" y="0"/>
                      <a:ext cx="2662406" cy="3118546"/>
                    </a:xfrm>
                    <a:prstGeom prst="rect">
                      <a:avLst/>
                    </a:prstGeom>
                    <a:noFill/>
                    <a:ln w="9525">
                      <a:noFill/>
                      <a:miter lim="800000"/>
                      <a:headEnd/>
                      <a:tailEnd/>
                    </a:ln>
                  </pic:spPr>
                </pic:pic>
              </a:graphicData>
            </a:graphic>
          </wp:inline>
        </w:drawing>
      </w:r>
    </w:p>
    <w:p w:rsidR="00F934C1" w:rsidRDefault="009E3DFE" w:rsidP="00F934C1">
      <w:pPr>
        <w:pStyle w:val="Heading5"/>
      </w:pPr>
      <w:bookmarkStart w:id="160" w:name="_Toc143872500"/>
      <w:bookmarkStart w:id="161" w:name="_Toc85462845"/>
      <w:bookmarkStart w:id="162" w:name="_Toc104379871"/>
      <w:bookmarkStart w:id="163" w:name="_Toc112877963"/>
      <w:bookmarkStart w:id="164" w:name="_Toc112880596"/>
      <w:bookmarkStart w:id="165" w:name="_Toc120047557"/>
      <w:r>
        <w:rPr>
          <w:noProof/>
        </w:rPr>
        <mc:AlternateContent>
          <mc:Choice Requires="wps">
            <w:drawing>
              <wp:anchor distT="0" distB="0" distL="114300" distR="114300" simplePos="0" relativeHeight="251657728" behindDoc="0" locked="0" layoutInCell="1" allowOverlap="1">
                <wp:simplePos x="0" y="0"/>
                <wp:positionH relativeFrom="column">
                  <wp:posOffset>3314700</wp:posOffset>
                </wp:positionH>
                <wp:positionV relativeFrom="paragraph">
                  <wp:posOffset>18415</wp:posOffset>
                </wp:positionV>
                <wp:extent cx="1151255" cy="271145"/>
                <wp:effectExtent l="9525" t="8890" r="10795" b="5715"/>
                <wp:wrapNone/>
                <wp:docPr id="23"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1255" cy="271145"/>
                        </a:xfrm>
                        <a:prstGeom prst="rect">
                          <a:avLst/>
                        </a:prstGeom>
                        <a:solidFill>
                          <a:srgbClr val="FFFFFF"/>
                        </a:solidFill>
                        <a:ln w="9525">
                          <a:solidFill>
                            <a:srgbClr val="000000"/>
                          </a:solidFill>
                          <a:miter lim="800000"/>
                          <a:headEnd/>
                          <a:tailEnd/>
                        </a:ln>
                      </wps:spPr>
                      <wps:txbx>
                        <w:txbxContent>
                          <w:p w:rsidR="00EE4979" w:rsidRDefault="00EE4979" w:rsidP="00F934C1">
                            <w:r>
                              <w:rPr>
                                <w:color w:val="000000"/>
                                <w:lang w:eastAsia="en-GB"/>
                              </w:rPr>
                              <w:t>Bragg’s angle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43" type="#_x0000_t202" style="position:absolute;left:0;text-align:left;margin-left:261pt;margin-top:1.45pt;width:90.65pt;height:21.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">
                <v:textbox>
                  <w:txbxContent>
                    <w:p w:rsidR="00EE4979" w:rsidRDefault="00EE4979" w:rsidP="00F934C1">
                      <w:r>
                        <w:rPr>
                          <w:color w:val="000000"/>
                          <w:lang w:eastAsia="en-GB"/>
                        </w:rPr>
                        <w:t>Bragg’s angle</w:t>
                      </w:r>
                    </w:p>
                  </w:txbxContent>
                </v:textbox>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601980</wp:posOffset>
                </wp:positionH>
                <wp:positionV relativeFrom="paragraph">
                  <wp:posOffset>6985</wp:posOffset>
                </wp:positionV>
                <wp:extent cx="1106805" cy="282575"/>
                <wp:effectExtent l="11430" t="6985" r="5715" b="5715"/>
                <wp:wrapNone/>
                <wp:docPr id="2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6805" cy="282575"/>
                        </a:xfrm>
                        <a:prstGeom prst="rect">
                          <a:avLst/>
                        </a:prstGeom>
                        <a:solidFill>
                          <a:srgbClr val="FFFFFF"/>
                        </a:solidFill>
                        <a:ln w="9525">
                          <a:solidFill>
                            <a:srgbClr val="000000"/>
                          </a:solidFill>
                          <a:miter lim="800000"/>
                          <a:headEnd/>
                          <a:tailEnd/>
                        </a:ln>
                      </wps:spPr>
                      <wps:txbx>
                        <w:txbxContent>
                          <w:p w:rsidR="00EE4979" w:rsidRDefault="00EE4979" w:rsidP="00F934C1">
                            <w:r>
                              <w:rPr>
                                <w:color w:val="000000"/>
                                <w:lang w:eastAsia="en-GB"/>
                              </w:rPr>
                              <w:t>Bragg’s angle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44" type="#_x0000_t202" style="position:absolute;left:0;text-align:left;margin-left:47.4pt;margin-top:.55pt;width:87.15pt;height:22.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">
                <v:textbox>
                  <w:txbxContent>
                    <w:p w:rsidR="00EE4979" w:rsidRDefault="00EE4979" w:rsidP="00F934C1">
                      <w:r>
                        <w:rPr>
                          <w:color w:val="000000"/>
                          <w:lang w:eastAsia="en-GB"/>
                        </w:rPr>
                        <w:t>Bragg’s angle</w:t>
                      </w:r>
                    </w:p>
                  </w:txbxContent>
                </v:textbox>
              </v:shape>
            </w:pict>
          </mc:Fallback>
        </mc:AlternateContent>
      </w:r>
      <w:bookmarkEnd w:id="160"/>
    </w:p>
    <w:p w:rsidR="00F934C1" w:rsidRPr="00BB4B6E" w:rsidRDefault="00F934C1" w:rsidP="00F934C1">
      <w:pPr>
        <w:pStyle w:val="Heading5"/>
      </w:pPr>
      <w:bookmarkStart w:id="166" w:name="_Toc144222360"/>
      <w:r w:rsidRPr="00BB4B6E">
        <w:t>F</w:t>
      </w:r>
      <w:r>
        <w:t xml:space="preserve">igure </w:t>
      </w:r>
      <w:r w:rsidRPr="00BB4B6E">
        <w:t>4.</w:t>
      </w:r>
      <w:r w:rsidR="00C226E6" w:rsidRPr="00BB4B6E">
        <w:fldChar w:fldCharType="begin"/>
      </w:r>
      <w:r w:rsidRPr="00BB4B6E">
        <w:instrText xml:space="preserve"> SEQ Fig._4. \* ARABIC </w:instrText>
      </w:r>
      <w:r w:rsidR="00C226E6" w:rsidRPr="00BB4B6E">
        <w:fldChar w:fldCharType="separate"/>
      </w:r>
      <w:r w:rsidR="00301A90">
        <w:rPr>
          <w:noProof/>
        </w:rPr>
        <w:t>4</w:t>
      </w:r>
      <w:r w:rsidR="00C226E6" w:rsidRPr="00BB4B6E">
        <w:fldChar w:fldCharType="end"/>
      </w:r>
      <w:r w:rsidRPr="00BB4B6E">
        <w:t>: (a) XRD image of bone NPK nano and (b) XRD image of synthetic NPK Nano</w:t>
      </w:r>
      <w:bookmarkEnd w:id="161"/>
      <w:bookmarkEnd w:id="162"/>
      <w:bookmarkEnd w:id="163"/>
      <w:bookmarkEnd w:id="164"/>
      <w:bookmarkEnd w:id="165"/>
      <w:bookmarkEnd w:id="166"/>
    </w:p>
    <w:p w:rsidR="00F934C1" w:rsidRDefault="00F934C1" w:rsidP="00F934C1">
      <w:pPr>
        <w:autoSpaceDE/>
        <w:autoSpaceDN/>
        <w:adjustRightInd/>
        <w:spacing w:after="200" w:line="276" w:lineRule="auto"/>
        <w:jc w:val="left"/>
      </w:pPr>
      <w:r>
        <w:br w:type="page"/>
      </w:r>
    </w:p>
    <w:p w:rsidR="00F934C1" w:rsidRPr="00BB4B6E" w:rsidRDefault="009E3DFE" w:rsidP="00F934C1">
      <w:pPr>
        <w:tabs>
          <w:tab w:val="left" w:pos="2065"/>
        </w:tabs>
      </w:pPr>
      <w:r>
        <w:rPr>
          <w:noProof/>
        </w:rPr>
        <w:lastRenderedPageBreak/>
        <mc:AlternateContent>
          <mc:Choice Requires="wps">
            <w:drawing>
              <wp:anchor distT="0" distB="0" distL="114300" distR="114300" simplePos="0" relativeHeight="251653632" behindDoc="0" locked="0" layoutInCell="1" allowOverlap="1">
                <wp:simplePos x="0" y="0"/>
                <wp:positionH relativeFrom="column">
                  <wp:posOffset>2948305</wp:posOffset>
                </wp:positionH>
                <wp:positionV relativeFrom="paragraph">
                  <wp:posOffset>403225</wp:posOffset>
                </wp:positionV>
                <wp:extent cx="282575" cy="294005"/>
                <wp:effectExtent l="5080" t="12700" r="7620" b="7620"/>
                <wp:wrapNone/>
                <wp:docPr id="21"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575" cy="294005"/>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45" style="position:absolute;left:0;text-align:left;margin-left:232.15pt;margin-top:31.75pt;width:22.25pt;height:23.1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">
                <v:textbox>
                  <w:txbxContent>
                    <w:p w:rsidR="00EE4979" w:rsidRPr="0090635B" w:rsidRDefault="00EE4979" w:rsidP="00F934C1">
                      <w:pPr>
                        <w:rPr>
                          <w:b/>
                          <w:color w:val="00B0F0"/>
                        </w:rPr>
                      </w:pPr>
                      <w:r w:rsidRPr="0090635B">
                        <w:rPr>
                          <w:b/>
                          <w:color w:val="00B0F0"/>
                        </w:rPr>
                        <w:t>b</w:t>
                      </w:r>
                    </w:p>
                  </w:txbxContent>
                </v:textbox>
              </v:rect>
            </w:pict>
          </mc:Fallback>
        </mc:AlternateContent>
      </w:r>
      <w:r>
        <w:rPr>
          <w:noProof/>
        </w:rPr>
        <mc:AlternateContent>
          <mc:Choice Requires="wps">
            <w:drawing>
              <wp:anchor distT="0" distB="0" distL="114300" distR="114300" simplePos="0" relativeHeight="251652608" behindDoc="0" locked="0" layoutInCell="1" allowOverlap="1">
                <wp:simplePos x="0" y="0"/>
                <wp:positionH relativeFrom="column">
                  <wp:posOffset>434975</wp:posOffset>
                </wp:positionH>
                <wp:positionV relativeFrom="paragraph">
                  <wp:posOffset>376555</wp:posOffset>
                </wp:positionV>
                <wp:extent cx="281940" cy="294005"/>
                <wp:effectExtent l="6350" t="5080" r="6985" b="5715"/>
                <wp:wrapNone/>
                <wp:docPr id="2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294005"/>
                        </a:xfrm>
                        <a:prstGeom prst="rect">
                          <a:avLst/>
                        </a:prstGeom>
                        <a:solidFill>
                          <a:srgbClr val="FFFFFF"/>
                        </a:solidFill>
                        <a:ln w="9525">
                          <a:solidFill>
                            <a:srgbClr val="000000"/>
                          </a:solidFill>
                          <a:miter lim="800000"/>
                          <a:headEnd/>
                          <a:tailEnd/>
                        </a:ln>
                      </wps:spPr>
                      <wps:txbx>
                        <w:txbxContent>
                          <w:p w:rsidR="00EE4979" w:rsidRPr="0090635B" w:rsidRDefault="00EE4979" w:rsidP="00F934C1">
                            <w:pPr>
                              <w:rPr>
                                <w:b/>
                                <w:color w:val="00B0F0"/>
                              </w:rPr>
                            </w:pPr>
                            <w:r w:rsidRPr="0090635B">
                              <w:rPr>
                                <w:b/>
                                <w:color w:val="00B0F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46" style="position:absolute;left:0;text-align:left;margin-left:34.25pt;margin-top:29.65pt;width:22.2pt;height:23.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">
                <v:textbox>
                  <w:txbxContent>
                    <w:p w:rsidR="00EE4979" w:rsidRPr="0090635B" w:rsidRDefault="00EE4979" w:rsidP="00F934C1">
                      <w:pPr>
                        <w:rPr>
                          <w:b/>
                          <w:color w:val="00B0F0"/>
                        </w:rPr>
                      </w:pPr>
                      <w:r w:rsidRPr="0090635B">
                        <w:rPr>
                          <w:b/>
                          <w:color w:val="00B0F0"/>
                        </w:rPr>
                        <w:t>a</w:t>
                      </w:r>
                    </w:p>
                  </w:txbxContent>
                </v:textbox>
              </v:rect>
            </w:pict>
          </mc:Fallback>
        </mc:AlternateContent>
      </w:r>
      <w:r>
        <w:rPr>
          <w:noProof/>
        </w:rPr>
        <mc:AlternateContent>
          <mc:Choice Requires="wps">
            <w:drawing>
              <wp:anchor distT="0" distB="0" distL="114300" distR="114300" simplePos="0" relativeHeight="251659776" behindDoc="0" locked="0" layoutInCell="1" allowOverlap="1">
                <wp:simplePos x="0" y="0"/>
                <wp:positionH relativeFrom="column">
                  <wp:posOffset>2960370</wp:posOffset>
                </wp:positionH>
                <wp:positionV relativeFrom="paragraph">
                  <wp:posOffset>3136900</wp:posOffset>
                </wp:positionV>
                <wp:extent cx="1151255" cy="293370"/>
                <wp:effectExtent l="7620" t="12700" r="12700" b="8255"/>
                <wp:wrapNone/>
                <wp:docPr id="19"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1255" cy="293370"/>
                        </a:xfrm>
                        <a:prstGeom prst="rect">
                          <a:avLst/>
                        </a:prstGeom>
                        <a:solidFill>
                          <a:srgbClr val="FFFFFF"/>
                        </a:solidFill>
                        <a:ln w="9525">
                          <a:solidFill>
                            <a:srgbClr val="000000"/>
                          </a:solidFill>
                          <a:miter lim="800000"/>
                          <a:headEnd/>
                          <a:tailEnd/>
                        </a:ln>
                      </wps:spPr>
                      <wps:txbx>
                        <w:txbxContent>
                          <w:p w:rsidR="00EE4979" w:rsidRDefault="00EE4979" w:rsidP="00F934C1">
                            <w:r>
                              <w:rPr>
                                <w:color w:val="000000"/>
                                <w:lang w:eastAsia="en-GB"/>
                              </w:rPr>
                              <w:t>Bragg’s angle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47" type="#_x0000_t202" style="position:absolute;left:0;text-align:left;margin-left:233.1pt;margin-top:247pt;width:90.65pt;height:23.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">
                <v:textbox>
                  <w:txbxContent>
                    <w:p w:rsidR="00EE4979" w:rsidRDefault="00EE4979" w:rsidP="00F934C1">
                      <w:r>
                        <w:rPr>
                          <w:color w:val="000000"/>
                          <w:lang w:eastAsia="en-GB"/>
                        </w:rPr>
                        <w:t>Bragg’s angle</w:t>
                      </w:r>
                    </w:p>
                  </w:txbxContent>
                </v:textbox>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297180</wp:posOffset>
                </wp:positionH>
                <wp:positionV relativeFrom="paragraph">
                  <wp:posOffset>3136900</wp:posOffset>
                </wp:positionV>
                <wp:extent cx="1083310" cy="316230"/>
                <wp:effectExtent l="11430" t="12700" r="10160" b="13970"/>
                <wp:wrapNone/>
                <wp:docPr id="1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3310" cy="316230"/>
                        </a:xfrm>
                        <a:prstGeom prst="rect">
                          <a:avLst/>
                        </a:prstGeom>
                        <a:solidFill>
                          <a:srgbClr val="FFFFFF"/>
                        </a:solidFill>
                        <a:ln w="9525">
                          <a:solidFill>
                            <a:srgbClr val="000000"/>
                          </a:solidFill>
                          <a:miter lim="800000"/>
                          <a:headEnd/>
                          <a:tailEnd/>
                        </a:ln>
                      </wps:spPr>
                      <wps:txbx>
                        <w:txbxContent>
                          <w:p w:rsidR="00EE4979" w:rsidRDefault="00EE4979" w:rsidP="00F934C1">
                            <w:r>
                              <w:rPr>
                                <w:color w:val="000000"/>
                                <w:lang w:eastAsia="en-GB"/>
                              </w:rPr>
                              <w:t>Bragg’s angle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48" type="#_x0000_t202" style="position:absolute;left:0;text-align:left;margin-left:23.4pt;margin-top:247pt;width:85.3pt;height:24.9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">
                <v:textbox>
                  <w:txbxContent>
                    <w:p w:rsidR="00EE4979" w:rsidRDefault="00EE4979" w:rsidP="00F934C1">
                      <w:r>
                        <w:rPr>
                          <w:color w:val="000000"/>
                          <w:lang w:eastAsia="en-GB"/>
                        </w:rPr>
                        <w:t>Bragg’s angle</w:t>
                      </w:r>
                    </w:p>
                  </w:txbxContent>
                </v:textbox>
              </v:shape>
            </w:pict>
          </mc:Fallback>
        </mc:AlternateContent>
      </w:r>
      <w:r w:rsidR="00F934C1" w:rsidRPr="00BB4B6E">
        <w:rPr>
          <w:noProof/>
        </w:rPr>
        <w:drawing>
          <wp:inline distT="0" distB="0" distL="0" distR="0" wp14:anchorId="4432489E" wp14:editId="5818AA97">
            <wp:extent cx="2458994" cy="3190086"/>
            <wp:effectExtent l="0" t="0" r="0" b="0"/>
            <wp:docPr id="68" name="Picture 8" descr="C:\Users\ADMIN\AppData\Local\Temp\Rar$DIa10404.485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AppData\Local\Temp\Rar$DIa10404.48510\8.jpg"/>
                    <pic:cNvPicPr>
                      <a:picLocks noChangeAspect="1" noChangeArrowheads="1"/>
                    </pic:cNvPicPr>
                  </pic:nvPicPr>
                  <pic:blipFill>
                    <a:blip r:embed="rId24" cstate="print"/>
                    <a:srcRect/>
                    <a:stretch>
                      <a:fillRect/>
                    </a:stretch>
                  </pic:blipFill>
                  <pic:spPr bwMode="auto">
                    <a:xfrm>
                      <a:off x="0" y="0"/>
                      <a:ext cx="2471526" cy="3206344"/>
                    </a:xfrm>
                    <a:prstGeom prst="rect">
                      <a:avLst/>
                    </a:prstGeom>
                    <a:noFill/>
                    <a:ln w="9525">
                      <a:noFill/>
                      <a:miter lim="800000"/>
                      <a:headEnd/>
                      <a:tailEnd/>
                    </a:ln>
                  </pic:spPr>
                </pic:pic>
              </a:graphicData>
            </a:graphic>
          </wp:inline>
        </w:drawing>
      </w:r>
      <w:r w:rsidR="00F934C1" w:rsidRPr="00BB4B6E">
        <w:rPr>
          <w:noProof/>
        </w:rPr>
        <w:drawing>
          <wp:inline distT="0" distB="0" distL="0" distR="0" wp14:anchorId="455550DA" wp14:editId="750B878B">
            <wp:extent cx="2619633" cy="3171454"/>
            <wp:effectExtent l="0" t="0" r="0" b="0"/>
            <wp:docPr id="69" name="Picture 3" descr="C:\Users\ADMIN\AppData\Local\Temp\Rar$DIa10404.24272\3 repe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AppData\Local\Temp\Rar$DIa10404.24272\3 repeat.jpg"/>
                    <pic:cNvPicPr>
                      <a:picLocks noChangeAspect="1" noChangeArrowheads="1"/>
                    </pic:cNvPicPr>
                  </pic:nvPicPr>
                  <pic:blipFill>
                    <a:blip r:embed="rId25" cstate="print"/>
                    <a:srcRect/>
                    <a:stretch>
                      <a:fillRect/>
                    </a:stretch>
                  </pic:blipFill>
                  <pic:spPr bwMode="auto">
                    <a:xfrm>
                      <a:off x="0" y="0"/>
                      <a:ext cx="2630631" cy="3184769"/>
                    </a:xfrm>
                    <a:prstGeom prst="rect">
                      <a:avLst/>
                    </a:prstGeom>
                    <a:noFill/>
                    <a:ln w="9525">
                      <a:noFill/>
                      <a:miter lim="800000"/>
                      <a:headEnd/>
                      <a:tailEnd/>
                    </a:ln>
                  </pic:spPr>
                </pic:pic>
              </a:graphicData>
            </a:graphic>
          </wp:inline>
        </w:drawing>
      </w:r>
    </w:p>
    <w:p w:rsidR="00F934C1" w:rsidRDefault="00F934C1" w:rsidP="00F934C1">
      <w:pPr>
        <w:pStyle w:val="Heading5"/>
      </w:pPr>
      <w:bookmarkStart w:id="167" w:name="_Toc85462846"/>
      <w:bookmarkStart w:id="168" w:name="_Toc104379872"/>
      <w:bookmarkStart w:id="169" w:name="_Toc112877964"/>
      <w:bookmarkStart w:id="170" w:name="_Toc112880597"/>
      <w:bookmarkStart w:id="171" w:name="_Toc120047558"/>
    </w:p>
    <w:p w:rsidR="00F934C1" w:rsidRPr="00BB4B6E" w:rsidRDefault="00F934C1" w:rsidP="00F934C1">
      <w:pPr>
        <w:pStyle w:val="Heading5"/>
      </w:pPr>
      <w:bookmarkStart w:id="172" w:name="_Toc144222361"/>
      <w:r>
        <w:t>Figure</w:t>
      </w:r>
      <w:r w:rsidRPr="00BB4B6E">
        <w:t xml:space="preserve"> 4.</w:t>
      </w:r>
      <w:r w:rsidR="00C226E6" w:rsidRPr="00BB4B6E">
        <w:fldChar w:fldCharType="begin"/>
      </w:r>
      <w:r w:rsidRPr="00BB4B6E">
        <w:instrText xml:space="preserve"> SEQ Fig._4. \* ARABIC </w:instrText>
      </w:r>
      <w:r w:rsidR="00C226E6" w:rsidRPr="00BB4B6E">
        <w:fldChar w:fldCharType="separate"/>
      </w:r>
      <w:r w:rsidR="00301A90">
        <w:rPr>
          <w:noProof/>
        </w:rPr>
        <w:t>5</w:t>
      </w:r>
      <w:r w:rsidR="00C226E6" w:rsidRPr="00BB4B6E">
        <w:fldChar w:fldCharType="end"/>
      </w:r>
      <w:r w:rsidRPr="00BB4B6E">
        <w:t>: (a) XRD image of bone NPK-DAP Nano and (b) XRD image of synthetic NPK-DAP Nano</w:t>
      </w:r>
      <w:bookmarkEnd w:id="167"/>
      <w:bookmarkEnd w:id="168"/>
      <w:bookmarkEnd w:id="169"/>
      <w:bookmarkEnd w:id="170"/>
      <w:bookmarkEnd w:id="171"/>
      <w:bookmarkEnd w:id="172"/>
    </w:p>
    <w:p w:rsidR="00F934C1" w:rsidRPr="00BB4B6E" w:rsidRDefault="00F934C1" w:rsidP="00F934C1">
      <w:pPr>
        <w:rPr>
          <w:noProof/>
        </w:rPr>
      </w:pPr>
    </w:p>
    <w:p w:rsidR="00F934C1" w:rsidRPr="00BB4B6E" w:rsidRDefault="00F934C1" w:rsidP="00F934C1">
      <w:pPr>
        <w:rPr>
          <w:noProof/>
        </w:rPr>
      </w:pPr>
      <w:r w:rsidRPr="00BB4B6E">
        <w:t>The XRD patterns of bone and synthetic nano-fertilizers indicate the presence of amorphous nHA. The sharp peaks from 24.24 – 35.35 nm revealed that the nano crystallite were formed (Table 4.2). The reflection planes corresponding to the characteristic XRD spectral peaks of bone and synthetic nano-fertilizer are shown in Fig.4.4 - 4.7. The standard JCPDS file no. (09-0432) is used to identify the observed diffraction peaks, which are eventually assigned to crystallite nHA nanoparticles. The sharp XRD characteristic peaks that appeared at 26</w:t>
      </w:r>
      <w:r w:rsidRPr="00BB4B6E">
        <w:rPr>
          <w:vertAlign w:val="superscript"/>
        </w:rPr>
        <w:t>0</w:t>
      </w:r>
      <w:r w:rsidRPr="00BB4B6E">
        <w:t>, 32.5</w:t>
      </w:r>
      <w:r w:rsidRPr="00BB4B6E">
        <w:rPr>
          <w:vertAlign w:val="superscript"/>
        </w:rPr>
        <w:t xml:space="preserve">0 </w:t>
      </w:r>
      <w:r w:rsidRPr="00BB4B6E">
        <w:t>and 39</w:t>
      </w:r>
      <w:r w:rsidRPr="00BB4B6E">
        <w:rPr>
          <w:vertAlign w:val="superscript"/>
        </w:rPr>
        <w:t>0</w:t>
      </w:r>
      <w:r w:rsidRPr="00BB4B6E">
        <w:t xml:space="preserve"> on the bone and synthetic nano-fertilizer corresponding to the peaks of nano-hydroxyapatite powder (Tarafder </w:t>
      </w:r>
      <w:r w:rsidRPr="00BB4B6E">
        <w:rPr>
          <w:i/>
        </w:rPr>
        <w:t>et al</w:t>
      </w:r>
      <w:r w:rsidRPr="00BB4B6E">
        <w:t xml:space="preserve">., 2020). The XRD patterns show peaks with higher intensities which conforms to the nHA nano sized particles of highly crystallite nature. </w:t>
      </w:r>
      <w:r w:rsidRPr="00BB4B6E">
        <w:rPr>
          <w:noProof/>
        </w:rPr>
        <w:t>Table 4.2 shows crystallite size of studied nanofertilizers using a sample size n = 3.</w:t>
      </w:r>
    </w:p>
    <w:p w:rsidR="00F934C1" w:rsidRPr="00BB4B6E" w:rsidRDefault="00F934C1" w:rsidP="00F934C1">
      <w:pPr>
        <w:pStyle w:val="Heading4"/>
        <w:rPr>
          <w:noProof/>
        </w:rPr>
      </w:pPr>
      <w:bookmarkStart w:id="173" w:name="_Toc85450575"/>
      <w:bookmarkStart w:id="174" w:name="_Toc85455558"/>
      <w:bookmarkStart w:id="175" w:name="_Toc112877965"/>
      <w:bookmarkStart w:id="176" w:name="_Toc112880598"/>
      <w:bookmarkStart w:id="177" w:name="_Toc117003056"/>
      <w:bookmarkStart w:id="178" w:name="_Toc120047570"/>
      <w:bookmarkStart w:id="179" w:name="_Toc144222333"/>
      <w:r w:rsidRPr="00BB4B6E">
        <w:lastRenderedPageBreak/>
        <w:t>Table 4.</w:t>
      </w:r>
      <w:r>
        <w:t>2</w:t>
      </w:r>
      <w:r w:rsidRPr="00BB4B6E">
        <w:rPr>
          <w:noProof/>
        </w:rPr>
        <w:t xml:space="preserve">: </w:t>
      </w:r>
      <w:r w:rsidR="00C226E6" w:rsidRPr="00BB4B6E">
        <w:rPr>
          <w:noProof/>
        </w:rPr>
        <w:fldChar w:fldCharType="begin"/>
      </w:r>
      <w:r w:rsidRPr="00BB4B6E">
        <w:rPr>
          <w:noProof/>
        </w:rPr>
        <w:instrText xml:space="preserve"> TOC \p " " \h \z \c "Figure" </w:instrText>
      </w:r>
      <w:r w:rsidR="00C226E6" w:rsidRPr="00BB4B6E">
        <w:rPr>
          <w:noProof/>
        </w:rPr>
        <w:fldChar w:fldCharType="end"/>
      </w:r>
      <w:r w:rsidRPr="00BB4B6E">
        <w:rPr>
          <w:noProof/>
        </w:rPr>
        <w:t>Nano-fertilizer particle sizes determined from XRD analysis</w:t>
      </w:r>
      <w:bookmarkEnd w:id="173"/>
      <w:bookmarkEnd w:id="174"/>
      <w:bookmarkEnd w:id="175"/>
      <w:bookmarkEnd w:id="176"/>
      <w:bookmarkEnd w:id="177"/>
      <w:bookmarkEnd w:id="178"/>
      <w:bookmarkEnd w:id="179"/>
    </w:p>
    <w:tbl>
      <w:tblPr>
        <w:tblW w:w="8255" w:type="dxa"/>
        <w:tblCellMar>
          <w:left w:w="0" w:type="dxa"/>
          <w:right w:w="0" w:type="dxa"/>
        </w:tblCellMar>
        <w:tblLook w:val="04A0" w:firstRow="1" w:lastRow="0" w:firstColumn="1" w:lastColumn="0" w:noHBand="0" w:noVBand="1"/>
      </w:tblPr>
      <w:tblGrid>
        <w:gridCol w:w="2765"/>
        <w:gridCol w:w="5490"/>
      </w:tblGrid>
      <w:tr w:rsidR="00F934C1" w:rsidRPr="00BB4B6E" w:rsidTr="00F934C1">
        <w:trPr>
          <w:trHeight w:val="670"/>
        </w:trPr>
        <w:tc>
          <w:tcPr>
            <w:tcW w:w="2765" w:type="dxa"/>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pPr>
            <w:r w:rsidRPr="00BB4B6E">
              <w:rPr>
                <w:b/>
                <w:bCs/>
                <w:color w:val="000000"/>
                <w:kern w:val="24"/>
              </w:rPr>
              <w:t xml:space="preserve">NANOPARTICLE </w:t>
            </w:r>
          </w:p>
        </w:tc>
        <w:tc>
          <w:tcPr>
            <w:tcW w:w="5490" w:type="dxa"/>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center"/>
              <w:rPr>
                <w:b/>
                <w:bCs/>
                <w:color w:val="000000"/>
                <w:kern w:val="24"/>
              </w:rPr>
            </w:pPr>
            <w:r w:rsidRPr="00BB4B6E">
              <w:rPr>
                <w:b/>
                <w:bCs/>
                <w:color w:val="000000"/>
                <w:kern w:val="24"/>
              </w:rPr>
              <w:t>AVERAGE PARTICLE DIAMETER</w:t>
            </w:r>
          </w:p>
          <w:p w:rsidR="00F934C1" w:rsidRPr="00BB4B6E" w:rsidRDefault="00F934C1" w:rsidP="00F934C1">
            <w:pPr>
              <w:autoSpaceDE/>
              <w:autoSpaceDN/>
              <w:adjustRightInd/>
              <w:spacing w:line="240" w:lineRule="auto"/>
              <w:jc w:val="center"/>
            </w:pPr>
            <w:r w:rsidRPr="00BB4B6E">
              <w:rPr>
                <w:b/>
                <w:color w:val="000000"/>
              </w:rPr>
              <w:t xml:space="preserve"> Mean ± SD</w:t>
            </w:r>
            <w:r w:rsidRPr="00BB4B6E">
              <w:rPr>
                <w:b/>
                <w:bCs/>
                <w:color w:val="000000" w:themeColor="text1"/>
                <w:kern w:val="24"/>
              </w:rPr>
              <w:t>(nm), n=3</w:t>
            </w:r>
          </w:p>
        </w:tc>
      </w:tr>
      <w:tr w:rsidR="00F934C1" w:rsidRPr="00BB4B6E" w:rsidTr="00F934C1">
        <w:trPr>
          <w:trHeight w:val="413"/>
        </w:trPr>
        <w:tc>
          <w:tcPr>
            <w:tcW w:w="2765" w:type="dxa"/>
            <w:tcBorders>
              <w:top w:val="single" w:sz="8" w:space="0" w:color="000000"/>
              <w:left w:val="single" w:sz="8" w:space="0" w:color="FFFFFF"/>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pPr>
            <w:r w:rsidRPr="00BB4B6E">
              <w:rPr>
                <w:kern w:val="24"/>
              </w:rPr>
              <w:t>Bone nHA</w:t>
            </w:r>
          </w:p>
        </w:tc>
        <w:tc>
          <w:tcPr>
            <w:tcW w:w="5490" w:type="dxa"/>
            <w:tcBorders>
              <w:top w:val="single" w:sz="8" w:space="0" w:color="000000"/>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240" w:lineRule="auto"/>
              <w:jc w:val="center"/>
            </w:pPr>
            <w:r w:rsidRPr="00BB4B6E">
              <w:rPr>
                <w:color w:val="000000"/>
                <w:kern w:val="24"/>
              </w:rPr>
              <w:t>24.25</w:t>
            </w:r>
            <w:r w:rsidRPr="00BB4B6E">
              <w:rPr>
                <w:color w:val="000000" w:themeColor="text1"/>
                <w:kern w:val="24"/>
              </w:rPr>
              <w:t>±0.14</w:t>
            </w:r>
            <w:r w:rsidRPr="00BB4B6E">
              <w:rPr>
                <w:color w:val="000000" w:themeColor="text1"/>
                <w:kern w:val="24"/>
                <w:vertAlign w:val="superscript"/>
              </w:rPr>
              <w:t>a</w:t>
            </w:r>
          </w:p>
        </w:tc>
      </w:tr>
      <w:tr w:rsidR="00F934C1" w:rsidRPr="00BB4B6E" w:rsidTr="00F934C1">
        <w:trPr>
          <w:trHeight w:val="422"/>
        </w:trPr>
        <w:tc>
          <w:tcPr>
            <w:tcW w:w="2765"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pPr>
            <w:r w:rsidRPr="00BB4B6E">
              <w:rPr>
                <w:kern w:val="24"/>
              </w:rPr>
              <w:t>Syn nHA</w:t>
            </w:r>
          </w:p>
        </w:tc>
        <w:tc>
          <w:tcPr>
            <w:tcW w:w="5490"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240" w:lineRule="auto"/>
              <w:jc w:val="center"/>
            </w:pPr>
            <w:r w:rsidRPr="00BB4B6E">
              <w:rPr>
                <w:color w:val="000000"/>
                <w:kern w:val="24"/>
              </w:rPr>
              <w:t>27.35</w:t>
            </w:r>
            <w:r w:rsidRPr="00BB4B6E">
              <w:rPr>
                <w:color w:val="000000" w:themeColor="text1"/>
                <w:kern w:val="24"/>
              </w:rPr>
              <w:t>±0.24</w:t>
            </w:r>
            <w:r w:rsidRPr="00BB4B6E">
              <w:rPr>
                <w:color w:val="000000" w:themeColor="text1"/>
                <w:kern w:val="24"/>
                <w:vertAlign w:val="superscript"/>
              </w:rPr>
              <w:t>c</w:t>
            </w:r>
          </w:p>
        </w:tc>
      </w:tr>
      <w:tr w:rsidR="00F934C1" w:rsidRPr="00BB4B6E" w:rsidTr="00F934C1">
        <w:trPr>
          <w:trHeight w:val="413"/>
        </w:trPr>
        <w:tc>
          <w:tcPr>
            <w:tcW w:w="2765"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pPr>
            <w:r w:rsidRPr="00BB4B6E">
              <w:rPr>
                <w:kern w:val="24"/>
              </w:rPr>
              <w:t xml:space="preserve">Bone nHA +DAP </w:t>
            </w:r>
          </w:p>
        </w:tc>
        <w:tc>
          <w:tcPr>
            <w:tcW w:w="5490"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240" w:lineRule="auto"/>
              <w:jc w:val="center"/>
            </w:pPr>
            <w:r w:rsidRPr="00BB4B6E">
              <w:rPr>
                <w:color w:val="000000"/>
                <w:kern w:val="24"/>
              </w:rPr>
              <w:t>25.11</w:t>
            </w:r>
            <w:r w:rsidRPr="00BB4B6E">
              <w:rPr>
                <w:color w:val="000000" w:themeColor="text1"/>
                <w:kern w:val="24"/>
              </w:rPr>
              <w:t>±0.19</w:t>
            </w:r>
            <w:r w:rsidRPr="00BB4B6E">
              <w:rPr>
                <w:color w:val="000000" w:themeColor="text1"/>
                <w:kern w:val="24"/>
                <w:vertAlign w:val="superscript"/>
              </w:rPr>
              <w:t>b</w:t>
            </w:r>
          </w:p>
        </w:tc>
      </w:tr>
      <w:tr w:rsidR="00F934C1" w:rsidRPr="00BB4B6E" w:rsidTr="00F934C1">
        <w:trPr>
          <w:trHeight w:val="422"/>
        </w:trPr>
        <w:tc>
          <w:tcPr>
            <w:tcW w:w="2765"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pPr>
            <w:r w:rsidRPr="00BB4B6E">
              <w:rPr>
                <w:kern w:val="24"/>
              </w:rPr>
              <w:t xml:space="preserve">Syn nHA +DAP </w:t>
            </w:r>
          </w:p>
        </w:tc>
        <w:tc>
          <w:tcPr>
            <w:tcW w:w="5490"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240" w:lineRule="auto"/>
              <w:jc w:val="center"/>
            </w:pPr>
            <w:r w:rsidRPr="00BB4B6E">
              <w:rPr>
                <w:color w:val="000000"/>
                <w:kern w:val="24"/>
              </w:rPr>
              <w:t>29.24</w:t>
            </w:r>
            <w:r w:rsidRPr="00BB4B6E">
              <w:rPr>
                <w:color w:val="000000" w:themeColor="text1"/>
                <w:kern w:val="24"/>
              </w:rPr>
              <w:t>±0.42</w:t>
            </w:r>
            <w:r w:rsidRPr="00BB4B6E">
              <w:rPr>
                <w:color w:val="000000" w:themeColor="text1"/>
                <w:kern w:val="24"/>
                <w:vertAlign w:val="superscript"/>
              </w:rPr>
              <w:t>c</w:t>
            </w:r>
          </w:p>
        </w:tc>
      </w:tr>
      <w:tr w:rsidR="00F934C1" w:rsidRPr="00BB4B6E" w:rsidTr="00F934C1">
        <w:trPr>
          <w:trHeight w:val="413"/>
        </w:trPr>
        <w:tc>
          <w:tcPr>
            <w:tcW w:w="2765"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pPr>
            <w:r w:rsidRPr="00BB4B6E">
              <w:rPr>
                <w:kern w:val="24"/>
              </w:rPr>
              <w:t xml:space="preserve">Bone nHA+ NPK  </w:t>
            </w:r>
          </w:p>
        </w:tc>
        <w:tc>
          <w:tcPr>
            <w:tcW w:w="5490"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240" w:lineRule="auto"/>
              <w:jc w:val="center"/>
            </w:pPr>
            <w:r w:rsidRPr="00BB4B6E">
              <w:rPr>
                <w:color w:val="000000"/>
                <w:kern w:val="24"/>
              </w:rPr>
              <w:t>28.57</w:t>
            </w:r>
            <w:r w:rsidRPr="00BB4B6E">
              <w:rPr>
                <w:color w:val="000000" w:themeColor="text1"/>
                <w:kern w:val="24"/>
              </w:rPr>
              <w:t>±0.31</w:t>
            </w:r>
            <w:r w:rsidRPr="00BB4B6E">
              <w:rPr>
                <w:color w:val="000000" w:themeColor="text1"/>
                <w:kern w:val="24"/>
                <w:vertAlign w:val="superscript"/>
              </w:rPr>
              <w:t>c</w:t>
            </w:r>
          </w:p>
        </w:tc>
      </w:tr>
      <w:tr w:rsidR="00F934C1" w:rsidRPr="00BB4B6E" w:rsidTr="00F934C1">
        <w:trPr>
          <w:trHeight w:val="470"/>
        </w:trPr>
        <w:tc>
          <w:tcPr>
            <w:tcW w:w="2765"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pPr>
            <w:r w:rsidRPr="00BB4B6E">
              <w:rPr>
                <w:kern w:val="24"/>
              </w:rPr>
              <w:t xml:space="preserve">Syn nHA+ NPK  </w:t>
            </w:r>
          </w:p>
        </w:tc>
        <w:tc>
          <w:tcPr>
            <w:tcW w:w="5490"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240" w:lineRule="auto"/>
              <w:jc w:val="center"/>
            </w:pPr>
            <w:r w:rsidRPr="00BB4B6E">
              <w:rPr>
                <w:color w:val="000000"/>
                <w:kern w:val="24"/>
              </w:rPr>
              <w:t>31.50</w:t>
            </w:r>
            <w:r w:rsidRPr="00BB4B6E">
              <w:rPr>
                <w:color w:val="000000" w:themeColor="text1"/>
                <w:kern w:val="24"/>
              </w:rPr>
              <w:t>±0.34</w:t>
            </w:r>
            <w:r w:rsidRPr="00BB4B6E">
              <w:rPr>
                <w:color w:val="000000" w:themeColor="text1"/>
                <w:kern w:val="24"/>
                <w:vertAlign w:val="superscript"/>
              </w:rPr>
              <w:t>d</w:t>
            </w:r>
          </w:p>
        </w:tc>
      </w:tr>
      <w:tr w:rsidR="00F934C1" w:rsidRPr="00BB4B6E" w:rsidTr="00F934C1">
        <w:trPr>
          <w:trHeight w:val="413"/>
        </w:trPr>
        <w:tc>
          <w:tcPr>
            <w:tcW w:w="2765"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pPr>
            <w:r w:rsidRPr="00BB4B6E">
              <w:rPr>
                <w:kern w:val="24"/>
              </w:rPr>
              <w:t>Bone nHA+DAP+NPK</w:t>
            </w:r>
          </w:p>
        </w:tc>
        <w:tc>
          <w:tcPr>
            <w:tcW w:w="5490"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240" w:lineRule="auto"/>
              <w:jc w:val="center"/>
            </w:pPr>
            <w:r w:rsidRPr="00BB4B6E">
              <w:rPr>
                <w:color w:val="000000"/>
                <w:kern w:val="24"/>
              </w:rPr>
              <w:t>29.57</w:t>
            </w:r>
            <w:r w:rsidRPr="00BB4B6E">
              <w:rPr>
                <w:color w:val="000000" w:themeColor="text1"/>
                <w:kern w:val="24"/>
              </w:rPr>
              <w:t>±0.09</w:t>
            </w:r>
            <w:r w:rsidRPr="00BB4B6E">
              <w:rPr>
                <w:color w:val="000000" w:themeColor="text1"/>
                <w:kern w:val="24"/>
                <w:vertAlign w:val="superscript"/>
              </w:rPr>
              <w:t>c</w:t>
            </w:r>
          </w:p>
        </w:tc>
      </w:tr>
      <w:tr w:rsidR="00F934C1" w:rsidRPr="00BB4B6E" w:rsidTr="00F934C1">
        <w:trPr>
          <w:trHeight w:val="382"/>
        </w:trPr>
        <w:tc>
          <w:tcPr>
            <w:tcW w:w="2765"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pPr>
            <w:r w:rsidRPr="00BB4B6E">
              <w:rPr>
                <w:color w:val="000000"/>
                <w:kern w:val="24"/>
              </w:rPr>
              <w:t xml:space="preserve">Syn nHA+DAP+NPK </w:t>
            </w:r>
          </w:p>
        </w:tc>
        <w:tc>
          <w:tcPr>
            <w:tcW w:w="5490"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240" w:lineRule="auto"/>
              <w:jc w:val="center"/>
            </w:pPr>
            <w:r w:rsidRPr="00BB4B6E">
              <w:rPr>
                <w:color w:val="000000"/>
                <w:kern w:val="24"/>
              </w:rPr>
              <w:t>34.14</w:t>
            </w:r>
            <w:r w:rsidRPr="00BB4B6E">
              <w:rPr>
                <w:color w:val="000000" w:themeColor="text1"/>
                <w:kern w:val="24"/>
              </w:rPr>
              <w:t>±0.11</w:t>
            </w:r>
            <w:r w:rsidRPr="00BB4B6E">
              <w:rPr>
                <w:color w:val="000000" w:themeColor="text1"/>
                <w:kern w:val="24"/>
                <w:vertAlign w:val="superscript"/>
              </w:rPr>
              <w:t>d</w:t>
            </w:r>
          </w:p>
        </w:tc>
      </w:tr>
      <w:tr w:rsidR="00F934C1" w:rsidRPr="00BB4B6E" w:rsidTr="00F934C1">
        <w:trPr>
          <w:trHeight w:val="373"/>
        </w:trPr>
        <w:tc>
          <w:tcPr>
            <w:tcW w:w="2765" w:type="dxa"/>
            <w:tcBorders>
              <w:top w:val="single" w:sz="8" w:space="0" w:color="FFFFFF"/>
              <w:left w:val="single" w:sz="8" w:space="0" w:color="FFFFFF"/>
              <w:bottom w:val="single" w:sz="4" w:space="0" w:color="auto"/>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rPr>
                <w:color w:val="000000"/>
                <w:kern w:val="24"/>
              </w:rPr>
            </w:pPr>
          </w:p>
        </w:tc>
        <w:tc>
          <w:tcPr>
            <w:tcW w:w="5490" w:type="dxa"/>
            <w:tcBorders>
              <w:top w:val="single" w:sz="8" w:space="0" w:color="FFFFFF"/>
              <w:left w:val="single" w:sz="8" w:space="0" w:color="FFFFFF"/>
              <w:bottom w:val="single" w:sz="4" w:space="0" w:color="auto"/>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240" w:lineRule="auto"/>
              <w:jc w:val="center"/>
              <w:rPr>
                <w:color w:val="000000"/>
                <w:kern w:val="24"/>
              </w:rPr>
            </w:pPr>
            <w:r w:rsidRPr="00BB4B6E">
              <w:rPr>
                <w:b/>
              </w:rPr>
              <w:t>P-value˂0.01</w:t>
            </w:r>
          </w:p>
        </w:tc>
      </w:tr>
    </w:tbl>
    <w:p w:rsidR="00F934C1" w:rsidRPr="00BB4B6E" w:rsidRDefault="00F934C1" w:rsidP="00F934C1">
      <w:pPr>
        <w:spacing w:line="240" w:lineRule="auto"/>
        <w:rPr>
          <w:lang w:val="sw-KE" w:eastAsia="sw-KE"/>
        </w:rPr>
      </w:pPr>
      <w:r w:rsidRPr="00BB4B6E">
        <w:rPr>
          <w:lang w:eastAsia="sw-KE"/>
        </w:rPr>
        <w:t>Means ± SD superscripted with similar small letters within the same column are not significantly different at p =0.05 (Anova).</w:t>
      </w:r>
    </w:p>
    <w:p w:rsidR="00F934C1" w:rsidRPr="00BB4B6E" w:rsidRDefault="00F934C1" w:rsidP="00F934C1">
      <w:pPr>
        <w:spacing w:line="240" w:lineRule="auto"/>
        <w:rPr>
          <w:lang w:eastAsia="sw-KE"/>
        </w:rPr>
      </w:pPr>
    </w:p>
    <w:p w:rsidR="00F934C1" w:rsidRPr="00BB4B6E" w:rsidRDefault="00F934C1" w:rsidP="00F934C1">
      <w:r w:rsidRPr="00BB4B6E">
        <w:t xml:space="preserve">The crystallite size ranged between 24 to 34 nm as calculated by Scherrer equation from peaks obtained in the XRD peaks. The bone nanoparticles were significantly smaller in crystallite size in comparison with their respective synthetic nanoparticles. This signifies that the bone nanoparticles have higher number of adsorption sites and the contact surface area to volume ratio, making it more effective in heavy metal adsorption and gradual release of nutrients. The related results were posted by Tarfadar </w:t>
      </w:r>
      <w:r w:rsidRPr="00BB4B6E">
        <w:rPr>
          <w:i/>
        </w:rPr>
        <w:t>et al</w:t>
      </w:r>
      <w:r w:rsidRPr="00BB4B6E">
        <w:t xml:space="preserve">., 2020 that got non-significantly difference in synthetic nHA nanoparticle crystallite size ranging from 20 – 40 nm. </w:t>
      </w:r>
    </w:p>
    <w:p w:rsidR="00F934C1" w:rsidRPr="00BB4B6E" w:rsidRDefault="00F934C1" w:rsidP="00F934C1"/>
    <w:p w:rsidR="00F934C1" w:rsidRPr="00BB4B6E" w:rsidRDefault="00F934C1" w:rsidP="00F934C1">
      <w:pPr>
        <w:pStyle w:val="Heading3"/>
        <w:spacing w:before="0"/>
        <w:rPr>
          <w:rFonts w:cs="Times New Roman"/>
        </w:rPr>
      </w:pPr>
      <w:bookmarkStart w:id="180" w:name="_Toc144820057"/>
      <w:r w:rsidRPr="00BB4B6E">
        <w:rPr>
          <w:rFonts w:cs="Times New Roman"/>
        </w:rPr>
        <w:t>4.3.3 FTIR Analysis</w:t>
      </w:r>
      <w:bookmarkEnd w:id="180"/>
    </w:p>
    <w:p w:rsidR="00F934C1" w:rsidRPr="00BB4B6E" w:rsidRDefault="00F934C1" w:rsidP="00F934C1">
      <w:pPr>
        <w:pStyle w:val="Default"/>
        <w:spacing w:line="480" w:lineRule="auto"/>
        <w:jc w:val="both"/>
      </w:pPr>
      <w:r w:rsidRPr="00BB4B6E">
        <w:t>Figure 4.8(a)-4.8(h) shows th</w:t>
      </w:r>
      <w:r w:rsidR="00A025BA">
        <w:t>e spectra that were obtained of</w:t>
      </w:r>
      <w:r w:rsidRPr="00BB4B6E">
        <w:t xml:space="preserve"> bone and synthetic nanoparticles and their combinations using SHIMADZU FTIR 8400S (Kyoto, Japan) spectrophotometer, ran within the range of 250 cm</w:t>
      </w:r>
      <w:r w:rsidRPr="00BB4B6E">
        <w:rPr>
          <w:vertAlign w:val="superscript"/>
        </w:rPr>
        <w:t>-1</w:t>
      </w:r>
      <w:r w:rsidRPr="00BB4B6E">
        <w:t xml:space="preserve"> to 4500 cm</w:t>
      </w:r>
      <w:r w:rsidRPr="00BB4B6E">
        <w:rPr>
          <w:vertAlign w:val="superscript"/>
        </w:rPr>
        <w:t>-1</w:t>
      </w:r>
      <w:r w:rsidRPr="00BB4B6E">
        <w:t>.</w:t>
      </w:r>
    </w:p>
    <w:p w:rsidR="00F934C1" w:rsidRPr="00BB4B6E" w:rsidRDefault="009E3DFE" w:rsidP="00F934C1">
      <w:pPr>
        <w:pStyle w:val="Default"/>
        <w:rPr>
          <w:b/>
          <w:bCs/>
        </w:rPr>
      </w:pPr>
      <w:r>
        <w:rPr>
          <w:rFonts w:ascii="Calibri" w:hAnsi="Calibri" w:cs="Calibri"/>
          <w:noProof/>
        </w:rPr>
        <w:lastRenderedPageBreak/>
        <mc:AlternateContent>
          <mc:Choice Requires="wps">
            <w:drawing>
              <wp:anchor distT="0" distB="0" distL="114300" distR="114300" simplePos="0" relativeHeight="251663872" behindDoc="0" locked="0" layoutInCell="1" allowOverlap="1">
                <wp:simplePos x="0" y="0"/>
                <wp:positionH relativeFrom="column">
                  <wp:posOffset>2476500</wp:posOffset>
                </wp:positionH>
                <wp:positionV relativeFrom="paragraph">
                  <wp:posOffset>2796540</wp:posOffset>
                </wp:positionV>
                <wp:extent cx="282575" cy="259715"/>
                <wp:effectExtent l="9525" t="5715" r="12700" b="10795"/>
                <wp:wrapNone/>
                <wp:docPr id="17"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575" cy="259715"/>
                        </a:xfrm>
                        <a:prstGeom prst="rect">
                          <a:avLst/>
                        </a:prstGeom>
                        <a:solidFill>
                          <a:srgbClr val="FFFFFF"/>
                        </a:solidFill>
                        <a:ln w="9525">
                          <a:solidFill>
                            <a:srgbClr val="000000"/>
                          </a:solidFill>
                          <a:miter lim="800000"/>
                          <a:headEnd/>
                          <a:tailEnd/>
                        </a:ln>
                      </wps:spPr>
                      <wps:txbx>
                        <w:txbxContent>
                          <w:p w:rsidR="00EE4979" w:rsidRPr="0096754A" w:rsidRDefault="00EE4979" w:rsidP="00F934C1">
                            <w:pPr>
                              <w:rPr>
                                <w:color w:val="00B0F0"/>
                              </w:rPr>
                            </w:pPr>
                            <w:r w:rsidRPr="0096754A">
                              <w:rPr>
                                <w:color w:val="00B0F0"/>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49" style="position:absolute;margin-left:195pt;margin-top:220.2pt;width:22.25pt;height:20.4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">
                <v:textbox>
                  <w:txbxContent>
                    <w:p w:rsidR="00EE4979" w:rsidRPr="0096754A" w:rsidRDefault="00EE4979" w:rsidP="00F934C1">
                      <w:pPr>
                        <w:rPr>
                          <w:color w:val="00B0F0"/>
                        </w:rPr>
                      </w:pPr>
                      <w:r w:rsidRPr="0096754A">
                        <w:rPr>
                          <w:color w:val="00B0F0"/>
                        </w:rPr>
                        <w:t>d</w:t>
                      </w:r>
                    </w:p>
                  </w:txbxContent>
                </v:textbox>
              </v:rect>
            </w:pict>
          </mc:Fallback>
        </mc:AlternateContent>
      </w:r>
      <w:r>
        <w:rPr>
          <w:rFonts w:ascii="Calibri" w:hAnsi="Calibri" w:cs="Calibri"/>
          <w:noProof/>
        </w:rPr>
        <mc:AlternateContent>
          <mc:Choice Requires="wps">
            <w:drawing>
              <wp:anchor distT="0" distB="0" distL="114300" distR="114300" simplePos="0" relativeHeight="251662848" behindDoc="0" locked="0" layoutInCell="1" allowOverlap="1">
                <wp:simplePos x="0" y="0"/>
                <wp:positionH relativeFrom="column">
                  <wp:posOffset>189230</wp:posOffset>
                </wp:positionH>
                <wp:positionV relativeFrom="paragraph">
                  <wp:posOffset>2786380</wp:posOffset>
                </wp:positionV>
                <wp:extent cx="294005" cy="259080"/>
                <wp:effectExtent l="8255" t="5080" r="12065" b="12065"/>
                <wp:wrapNone/>
                <wp:docPr id="16"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005" cy="259080"/>
                        </a:xfrm>
                        <a:prstGeom prst="rect">
                          <a:avLst/>
                        </a:prstGeom>
                        <a:solidFill>
                          <a:srgbClr val="FFFFFF"/>
                        </a:solidFill>
                        <a:ln w="9525">
                          <a:solidFill>
                            <a:srgbClr val="000000"/>
                          </a:solidFill>
                          <a:miter lim="800000"/>
                          <a:headEnd/>
                          <a:tailEnd/>
                        </a:ln>
                      </wps:spPr>
                      <wps:txbx>
                        <w:txbxContent>
                          <w:p w:rsidR="00EE4979" w:rsidRPr="0096754A" w:rsidRDefault="00EE4979" w:rsidP="00F934C1">
                            <w:pPr>
                              <w:rPr>
                                <w:color w:val="00B0F0"/>
                              </w:rPr>
                            </w:pPr>
                            <w:r w:rsidRPr="0096754A">
                              <w:rPr>
                                <w:color w:val="00B0F0"/>
                              </w:rP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50" style="position:absolute;margin-left:14.9pt;margin-top:219.4pt;width:23.15pt;height:20.4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">
                <v:textbox>
                  <w:txbxContent>
                    <w:p w:rsidR="00EE4979" w:rsidRPr="0096754A" w:rsidRDefault="00EE4979" w:rsidP="00F934C1">
                      <w:pPr>
                        <w:rPr>
                          <w:color w:val="00B0F0"/>
                        </w:rPr>
                      </w:pPr>
                      <w:r w:rsidRPr="0096754A">
                        <w:rPr>
                          <w:color w:val="00B0F0"/>
                        </w:rPr>
                        <w:t>c</w:t>
                      </w:r>
                    </w:p>
                  </w:txbxContent>
                </v:textbox>
              </v:rect>
            </w:pict>
          </mc:Fallback>
        </mc:AlternateContent>
      </w:r>
      <w:r>
        <w:rPr>
          <w:rFonts w:ascii="Calibri" w:hAnsi="Calibri" w:cs="Calibri"/>
          <w:noProof/>
        </w:rPr>
        <mc:AlternateContent>
          <mc:Choice Requires="wps">
            <w:drawing>
              <wp:anchor distT="0" distB="0" distL="114300" distR="114300" simplePos="0" relativeHeight="251661824" behindDoc="0" locked="0" layoutInCell="1" allowOverlap="1">
                <wp:simplePos x="0" y="0"/>
                <wp:positionH relativeFrom="column">
                  <wp:posOffset>2449830</wp:posOffset>
                </wp:positionH>
                <wp:positionV relativeFrom="paragraph">
                  <wp:posOffset>201930</wp:posOffset>
                </wp:positionV>
                <wp:extent cx="282575" cy="270510"/>
                <wp:effectExtent l="11430" t="11430" r="10795" b="13335"/>
                <wp:wrapNone/>
                <wp:docPr id="15"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575" cy="270510"/>
                        </a:xfrm>
                        <a:prstGeom prst="rect">
                          <a:avLst/>
                        </a:prstGeom>
                        <a:solidFill>
                          <a:srgbClr val="FFFFFF"/>
                        </a:solidFill>
                        <a:ln w="9525">
                          <a:solidFill>
                            <a:srgbClr val="000000"/>
                          </a:solidFill>
                          <a:miter lim="800000"/>
                          <a:headEnd/>
                          <a:tailEnd/>
                        </a:ln>
                      </wps:spPr>
                      <wps:txbx>
                        <w:txbxContent>
                          <w:p w:rsidR="00EE4979" w:rsidRPr="0096754A" w:rsidRDefault="00EE4979" w:rsidP="00F934C1">
                            <w:pPr>
                              <w:rPr>
                                <w:color w:val="00B0F0"/>
                              </w:rPr>
                            </w:pPr>
                            <w:r w:rsidRPr="0096754A">
                              <w:rPr>
                                <w:color w:val="00B0F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51" style="position:absolute;margin-left:192.9pt;margin-top:15.9pt;width:22.25pt;height:21.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">
                <v:textbox>
                  <w:txbxContent>
                    <w:p w:rsidR="00EE4979" w:rsidRPr="0096754A" w:rsidRDefault="00EE4979" w:rsidP="00F934C1">
                      <w:pPr>
                        <w:rPr>
                          <w:color w:val="00B0F0"/>
                        </w:rPr>
                      </w:pPr>
                      <w:r w:rsidRPr="0096754A">
                        <w:rPr>
                          <w:color w:val="00B0F0"/>
                        </w:rPr>
                        <w:t>b</w:t>
                      </w:r>
                    </w:p>
                  </w:txbxContent>
                </v:textbox>
              </v:rect>
            </w:pict>
          </mc:Fallback>
        </mc:AlternateContent>
      </w:r>
      <w:r>
        <w:rPr>
          <w:rFonts w:ascii="Calibri" w:hAnsi="Calibri" w:cs="Calibri"/>
          <w:noProof/>
        </w:rPr>
        <mc:AlternateContent>
          <mc:Choice Requires="wps">
            <w:drawing>
              <wp:anchor distT="0" distB="0" distL="114300" distR="114300" simplePos="0" relativeHeight="251660800" behindDoc="0" locked="0" layoutInCell="1" allowOverlap="1">
                <wp:simplePos x="0" y="0"/>
                <wp:positionH relativeFrom="column">
                  <wp:posOffset>180340</wp:posOffset>
                </wp:positionH>
                <wp:positionV relativeFrom="paragraph">
                  <wp:posOffset>113030</wp:posOffset>
                </wp:positionV>
                <wp:extent cx="294005" cy="270510"/>
                <wp:effectExtent l="8890" t="8255" r="11430" b="6985"/>
                <wp:wrapNone/>
                <wp:docPr id="1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005" cy="270510"/>
                        </a:xfrm>
                        <a:prstGeom prst="rect">
                          <a:avLst/>
                        </a:prstGeom>
                        <a:solidFill>
                          <a:srgbClr val="FFFFFF"/>
                        </a:solidFill>
                        <a:ln w="9525">
                          <a:solidFill>
                            <a:srgbClr val="000000"/>
                          </a:solidFill>
                          <a:miter lim="800000"/>
                          <a:headEnd/>
                          <a:tailEnd/>
                        </a:ln>
                      </wps:spPr>
                      <wps:txbx>
                        <w:txbxContent>
                          <w:p w:rsidR="00EE4979" w:rsidRPr="0096754A" w:rsidRDefault="00EE4979" w:rsidP="00F934C1">
                            <w:pPr>
                              <w:rPr>
                                <w:color w:val="00B0F0"/>
                              </w:rPr>
                            </w:pPr>
                            <w:r w:rsidRPr="0096754A">
                              <w:rPr>
                                <w:color w:val="00B0F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52" style="position:absolute;margin-left:14.2pt;margin-top:8.9pt;width:23.15pt;height:21.3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">
                <v:textbox>
                  <w:txbxContent>
                    <w:p w:rsidR="00EE4979" w:rsidRPr="0096754A" w:rsidRDefault="00EE4979" w:rsidP="00F934C1">
                      <w:pPr>
                        <w:rPr>
                          <w:color w:val="00B0F0"/>
                        </w:rPr>
                      </w:pPr>
                      <w:r w:rsidRPr="0096754A">
                        <w:rPr>
                          <w:color w:val="00B0F0"/>
                        </w:rPr>
                        <w:t>a</w:t>
                      </w:r>
                    </w:p>
                  </w:txbxContent>
                </v:textbox>
              </v:rect>
            </w:pict>
          </mc:Fallback>
        </mc:AlternateContent>
      </w:r>
      <w:r w:rsidR="00F934C1" w:rsidRPr="00BB4B6E">
        <w:rPr>
          <w:rFonts w:ascii="Calibri" w:hAnsi="Calibri" w:cs="Calibri"/>
          <w:noProof/>
        </w:rPr>
        <w:drawing>
          <wp:inline distT="0" distB="0" distL="0" distR="0" wp14:anchorId="565BE338" wp14:editId="1E28C1C6">
            <wp:extent cx="2224216" cy="2665273"/>
            <wp:effectExtent l="0" t="0" r="0" b="0"/>
            <wp:docPr id="70"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a:srcRect/>
                    <a:stretch>
                      <a:fillRect/>
                    </a:stretch>
                  </pic:blipFill>
                  <pic:spPr bwMode="auto">
                    <a:xfrm>
                      <a:off x="0" y="0"/>
                      <a:ext cx="2230347" cy="2672620"/>
                    </a:xfrm>
                    <a:prstGeom prst="rect">
                      <a:avLst/>
                    </a:prstGeom>
                    <a:noFill/>
                    <a:ln w="9525">
                      <a:noFill/>
                      <a:miter lim="800000"/>
                      <a:headEnd/>
                      <a:tailEnd/>
                    </a:ln>
                  </pic:spPr>
                </pic:pic>
              </a:graphicData>
            </a:graphic>
          </wp:inline>
        </w:drawing>
      </w:r>
      <w:r w:rsidR="00F934C1" w:rsidRPr="00BB4B6E">
        <w:rPr>
          <w:rFonts w:ascii="Calibri" w:hAnsi="Calibri" w:cs="Calibri"/>
          <w:noProof/>
        </w:rPr>
        <w:drawing>
          <wp:inline distT="0" distB="0" distL="0" distR="0" wp14:anchorId="1C9E8806" wp14:editId="08D4FF69">
            <wp:extent cx="2359220" cy="2654423"/>
            <wp:effectExtent l="19050" t="0" r="2980" b="0"/>
            <wp:docPr id="7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a:srcRect/>
                    <a:stretch>
                      <a:fillRect/>
                    </a:stretch>
                  </pic:blipFill>
                  <pic:spPr bwMode="auto">
                    <a:xfrm>
                      <a:off x="0" y="0"/>
                      <a:ext cx="2370212" cy="2666791"/>
                    </a:xfrm>
                    <a:prstGeom prst="rect">
                      <a:avLst/>
                    </a:prstGeom>
                    <a:noFill/>
                    <a:ln w="9525">
                      <a:noFill/>
                      <a:miter lim="800000"/>
                      <a:headEnd/>
                      <a:tailEnd/>
                    </a:ln>
                  </pic:spPr>
                </pic:pic>
              </a:graphicData>
            </a:graphic>
          </wp:inline>
        </w:drawing>
      </w:r>
      <w:r w:rsidR="00F934C1" w:rsidRPr="00BB4B6E">
        <w:rPr>
          <w:b/>
          <w:bCs/>
          <w:noProof/>
        </w:rPr>
        <w:drawing>
          <wp:inline distT="0" distB="0" distL="0" distR="0" wp14:anchorId="6E571F95" wp14:editId="1F637910">
            <wp:extent cx="2310713" cy="3024754"/>
            <wp:effectExtent l="0" t="0" r="0" b="0"/>
            <wp:docPr id="8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srcRect/>
                    <a:stretch>
                      <a:fillRect/>
                    </a:stretch>
                  </pic:blipFill>
                  <pic:spPr bwMode="auto">
                    <a:xfrm>
                      <a:off x="0" y="0"/>
                      <a:ext cx="2317946" cy="3034222"/>
                    </a:xfrm>
                    <a:prstGeom prst="rect">
                      <a:avLst/>
                    </a:prstGeom>
                    <a:noFill/>
                    <a:ln w="9525">
                      <a:noFill/>
                      <a:miter lim="800000"/>
                      <a:headEnd/>
                      <a:tailEnd/>
                    </a:ln>
                  </pic:spPr>
                </pic:pic>
              </a:graphicData>
            </a:graphic>
          </wp:inline>
        </w:drawing>
      </w:r>
      <w:r w:rsidR="00F934C1" w:rsidRPr="00BB4B6E">
        <w:rPr>
          <w:b/>
          <w:bCs/>
          <w:noProof/>
        </w:rPr>
        <w:drawing>
          <wp:inline distT="0" distB="0" distL="0" distR="0" wp14:anchorId="46281DE0" wp14:editId="0C0EE3A9">
            <wp:extent cx="2339769" cy="2983442"/>
            <wp:effectExtent l="0" t="0" r="0" b="0"/>
            <wp:docPr id="8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srcRect/>
                    <a:stretch>
                      <a:fillRect/>
                    </a:stretch>
                  </pic:blipFill>
                  <pic:spPr bwMode="auto">
                    <a:xfrm>
                      <a:off x="0" y="0"/>
                      <a:ext cx="2352962" cy="3000265"/>
                    </a:xfrm>
                    <a:prstGeom prst="rect">
                      <a:avLst/>
                    </a:prstGeom>
                    <a:noFill/>
                    <a:ln w="9525">
                      <a:noFill/>
                      <a:miter lim="800000"/>
                      <a:headEnd/>
                      <a:tailEnd/>
                    </a:ln>
                  </pic:spPr>
                </pic:pic>
              </a:graphicData>
            </a:graphic>
          </wp:inline>
        </w:drawing>
      </w:r>
      <w:r>
        <w:rPr>
          <w:noProof/>
        </w:rPr>
        <w:lastRenderedPageBreak/>
        <mc:AlternateContent>
          <mc:Choice Requires="wps">
            <w:drawing>
              <wp:anchor distT="0" distB="0" distL="114300" distR="114300" simplePos="0" relativeHeight="251665920" behindDoc="0" locked="0" layoutInCell="1" allowOverlap="1">
                <wp:simplePos x="0" y="0"/>
                <wp:positionH relativeFrom="column">
                  <wp:posOffset>2442210</wp:posOffset>
                </wp:positionH>
                <wp:positionV relativeFrom="paragraph">
                  <wp:posOffset>115570</wp:posOffset>
                </wp:positionV>
                <wp:extent cx="304800" cy="281940"/>
                <wp:effectExtent l="13335" t="10795" r="5715" b="12065"/>
                <wp:wrapNone/>
                <wp:docPr id="13"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81940"/>
                        </a:xfrm>
                        <a:prstGeom prst="rect">
                          <a:avLst/>
                        </a:prstGeom>
                        <a:solidFill>
                          <a:srgbClr val="FFFFFF"/>
                        </a:solidFill>
                        <a:ln w="9525">
                          <a:solidFill>
                            <a:srgbClr val="000000"/>
                          </a:solidFill>
                          <a:miter lim="800000"/>
                          <a:headEnd/>
                          <a:tailEnd/>
                        </a:ln>
                      </wps:spPr>
                      <wps:txbx>
                        <w:txbxContent>
                          <w:p w:rsidR="00EE4979" w:rsidRPr="0096754A" w:rsidRDefault="00EE4979" w:rsidP="00F934C1">
                            <w:pPr>
                              <w:rPr>
                                <w:color w:val="00B0F0"/>
                              </w:rPr>
                            </w:pPr>
                            <w:r w:rsidRPr="0096754A">
                              <w:rPr>
                                <w:color w:val="00B0F0"/>
                              </w:rPr>
                              <w:t>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53" style="position:absolute;margin-left:192.3pt;margin-top:9.1pt;width:24pt;height:22.2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">
                <v:textbox>
                  <w:txbxContent>
                    <w:p w:rsidR="00EE4979" w:rsidRPr="0096754A" w:rsidRDefault="00EE4979" w:rsidP="00F934C1">
                      <w:pPr>
                        <w:rPr>
                          <w:color w:val="00B0F0"/>
                        </w:rPr>
                      </w:pPr>
                      <w:r w:rsidRPr="0096754A">
                        <w:rPr>
                          <w:color w:val="00B0F0"/>
                        </w:rPr>
                        <w:t>f</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170180</wp:posOffset>
                </wp:positionH>
                <wp:positionV relativeFrom="paragraph">
                  <wp:posOffset>71120</wp:posOffset>
                </wp:positionV>
                <wp:extent cx="293370" cy="281940"/>
                <wp:effectExtent l="8255" t="13970" r="12700" b="8890"/>
                <wp:wrapNone/>
                <wp:docPr id="12"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70" cy="281940"/>
                        </a:xfrm>
                        <a:prstGeom prst="rect">
                          <a:avLst/>
                        </a:prstGeom>
                        <a:solidFill>
                          <a:srgbClr val="FFFFFF"/>
                        </a:solidFill>
                        <a:ln w="9525">
                          <a:solidFill>
                            <a:srgbClr val="000000"/>
                          </a:solidFill>
                          <a:miter lim="800000"/>
                          <a:headEnd/>
                          <a:tailEnd/>
                        </a:ln>
                      </wps:spPr>
                      <wps:txbx>
                        <w:txbxContent>
                          <w:p w:rsidR="00EE4979" w:rsidRPr="0096754A" w:rsidRDefault="00EE4979" w:rsidP="00F934C1">
                            <w:pPr>
                              <w:rPr>
                                <w:color w:val="00B0F0"/>
                              </w:rPr>
                            </w:pPr>
                            <w:r w:rsidRPr="0096754A">
                              <w:rPr>
                                <w:color w:val="00B0F0"/>
                              </w:rPr>
                              <w: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54" style="position:absolute;margin-left:13.4pt;margin-top:5.6pt;width:23.1pt;height:22.2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">
                <v:textbox>
                  <w:txbxContent>
                    <w:p w:rsidR="00EE4979" w:rsidRPr="0096754A" w:rsidRDefault="00EE4979" w:rsidP="00F934C1">
                      <w:pPr>
                        <w:rPr>
                          <w:color w:val="00B0F0"/>
                        </w:rPr>
                      </w:pPr>
                      <w:r w:rsidRPr="0096754A">
                        <w:rPr>
                          <w:color w:val="00B0F0"/>
                        </w:rPr>
                        <w:t>e</w:t>
                      </w:r>
                    </w:p>
                  </w:txbxContent>
                </v:textbox>
              </v:rect>
            </w:pict>
          </mc:Fallback>
        </mc:AlternateContent>
      </w:r>
      <w:r w:rsidR="00F934C1" w:rsidRPr="00BB4B6E">
        <w:rPr>
          <w:rFonts w:ascii="Calibri" w:hAnsi="Calibri" w:cs="Calibri"/>
          <w:noProof/>
        </w:rPr>
        <w:drawing>
          <wp:inline distT="0" distB="0" distL="0" distR="0" wp14:anchorId="3240703C" wp14:editId="6D1E7D38">
            <wp:extent cx="2270481" cy="2668647"/>
            <wp:effectExtent l="0" t="0" r="0" b="0"/>
            <wp:docPr id="8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9"/>
                    <a:srcRect/>
                    <a:stretch>
                      <a:fillRect/>
                    </a:stretch>
                  </pic:blipFill>
                  <pic:spPr bwMode="auto">
                    <a:xfrm>
                      <a:off x="0" y="0"/>
                      <a:ext cx="2279115" cy="2678796"/>
                    </a:xfrm>
                    <a:prstGeom prst="rect">
                      <a:avLst/>
                    </a:prstGeom>
                    <a:noFill/>
                    <a:ln w="9525">
                      <a:noFill/>
                      <a:miter lim="800000"/>
                      <a:headEnd/>
                      <a:tailEnd/>
                    </a:ln>
                  </pic:spPr>
                </pic:pic>
              </a:graphicData>
            </a:graphic>
          </wp:inline>
        </w:drawing>
      </w:r>
      <w:r w:rsidR="00F934C1" w:rsidRPr="00BB4B6E">
        <w:rPr>
          <w:rFonts w:ascii="Calibri" w:hAnsi="Calibri" w:cs="Calibri"/>
          <w:noProof/>
        </w:rPr>
        <w:drawing>
          <wp:inline distT="0" distB="0" distL="0" distR="0" wp14:anchorId="45B6BBDD" wp14:editId="0E51E421">
            <wp:extent cx="2418588" cy="2636542"/>
            <wp:effectExtent l="0" t="0" r="0" b="0"/>
            <wp:docPr id="83"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0"/>
                    <a:srcRect/>
                    <a:stretch>
                      <a:fillRect/>
                    </a:stretch>
                  </pic:blipFill>
                  <pic:spPr bwMode="auto">
                    <a:xfrm>
                      <a:off x="0" y="0"/>
                      <a:ext cx="2419966" cy="2638044"/>
                    </a:xfrm>
                    <a:prstGeom prst="rect">
                      <a:avLst/>
                    </a:prstGeom>
                    <a:noFill/>
                    <a:ln w="9525">
                      <a:noFill/>
                      <a:miter lim="800000"/>
                      <a:headEnd/>
                      <a:tailEnd/>
                    </a:ln>
                  </pic:spPr>
                </pic:pic>
              </a:graphicData>
            </a:graphic>
          </wp:inline>
        </w:drawing>
      </w:r>
      <w:r>
        <w:rPr>
          <w:noProof/>
          <w:color w:val="auto"/>
        </w:rPr>
        <mc:AlternateContent>
          <mc:Choice Requires="wps">
            <w:drawing>
              <wp:anchor distT="0" distB="0" distL="114300" distR="114300" simplePos="0" relativeHeight="251666944" behindDoc="0" locked="0" layoutInCell="1" allowOverlap="1">
                <wp:simplePos x="0" y="0"/>
                <wp:positionH relativeFrom="column">
                  <wp:posOffset>180340</wp:posOffset>
                </wp:positionH>
                <wp:positionV relativeFrom="paragraph">
                  <wp:posOffset>2804160</wp:posOffset>
                </wp:positionV>
                <wp:extent cx="293370" cy="315595"/>
                <wp:effectExtent l="8890" t="13335" r="12065" b="13970"/>
                <wp:wrapNone/>
                <wp:docPr id="11"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70" cy="315595"/>
                        </a:xfrm>
                        <a:prstGeom prst="rect">
                          <a:avLst/>
                        </a:prstGeom>
                        <a:solidFill>
                          <a:srgbClr val="FFFFFF"/>
                        </a:solidFill>
                        <a:ln w="9525">
                          <a:solidFill>
                            <a:srgbClr val="000000"/>
                          </a:solidFill>
                          <a:miter lim="800000"/>
                          <a:headEnd/>
                          <a:tailEnd/>
                        </a:ln>
                      </wps:spPr>
                      <wps:txbx>
                        <w:txbxContent>
                          <w:p w:rsidR="00EE4979" w:rsidRPr="0096754A" w:rsidRDefault="00EE4979" w:rsidP="00F934C1">
                            <w:pPr>
                              <w:rPr>
                                <w:color w:val="00B0F0"/>
                              </w:rPr>
                            </w:pPr>
                            <w:r w:rsidRPr="0096754A">
                              <w:rPr>
                                <w:color w:val="00B0F0"/>
                              </w:rPr>
                              <w:t>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55" style="position:absolute;margin-left:14.2pt;margin-top:220.8pt;width:23.1pt;height:24.8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">
                <v:textbox>
                  <w:txbxContent>
                    <w:p w:rsidR="00EE4979" w:rsidRPr="0096754A" w:rsidRDefault="00EE4979" w:rsidP="00F934C1">
                      <w:pPr>
                        <w:rPr>
                          <w:color w:val="00B0F0"/>
                        </w:rPr>
                      </w:pPr>
                      <w:r w:rsidRPr="0096754A">
                        <w:rPr>
                          <w:color w:val="00B0F0"/>
                        </w:rPr>
                        <w:t>g</w:t>
                      </w:r>
                    </w:p>
                  </w:txbxContent>
                </v:textbox>
              </v:rect>
            </w:pict>
          </mc:Fallback>
        </mc:AlternateContent>
      </w:r>
      <w:r>
        <w:rPr>
          <w:noProof/>
          <w:color w:val="auto"/>
        </w:rPr>
        <mc:AlternateContent>
          <mc:Choice Requires="wps">
            <w:drawing>
              <wp:anchor distT="0" distB="0" distL="114300" distR="114300" simplePos="0" relativeHeight="251667968" behindDoc="0" locked="0" layoutInCell="1" allowOverlap="1">
                <wp:simplePos x="0" y="0"/>
                <wp:positionH relativeFrom="column">
                  <wp:posOffset>2442210</wp:posOffset>
                </wp:positionH>
                <wp:positionV relativeFrom="paragraph">
                  <wp:posOffset>2790825</wp:posOffset>
                </wp:positionV>
                <wp:extent cx="304800" cy="259080"/>
                <wp:effectExtent l="13335" t="9525" r="5715" b="7620"/>
                <wp:wrapNone/>
                <wp:docPr id="10"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59080"/>
                        </a:xfrm>
                        <a:prstGeom prst="rect">
                          <a:avLst/>
                        </a:prstGeom>
                        <a:solidFill>
                          <a:srgbClr val="FFFFFF"/>
                        </a:solidFill>
                        <a:ln w="9525">
                          <a:solidFill>
                            <a:srgbClr val="000000"/>
                          </a:solidFill>
                          <a:miter lim="800000"/>
                          <a:headEnd/>
                          <a:tailEnd/>
                        </a:ln>
                      </wps:spPr>
                      <wps:txbx>
                        <w:txbxContent>
                          <w:p w:rsidR="00EE4979" w:rsidRPr="0096754A" w:rsidRDefault="00EE4979" w:rsidP="00F934C1">
                            <w:pPr>
                              <w:rPr>
                                <w:color w:val="00B0F0"/>
                              </w:rPr>
                            </w:pPr>
                            <w:r w:rsidRPr="0096754A">
                              <w:rPr>
                                <w:color w:val="00B0F0"/>
                              </w:rPr>
                              <w:t>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56" style="position:absolute;margin-left:192.3pt;margin-top:219.75pt;width:24pt;height:20.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">
                <v:textbox>
                  <w:txbxContent>
                    <w:p w:rsidR="00EE4979" w:rsidRPr="0096754A" w:rsidRDefault="00EE4979" w:rsidP="00F934C1">
                      <w:pPr>
                        <w:rPr>
                          <w:color w:val="00B0F0"/>
                        </w:rPr>
                      </w:pPr>
                      <w:r w:rsidRPr="0096754A">
                        <w:rPr>
                          <w:color w:val="00B0F0"/>
                        </w:rPr>
                        <w:t>h</w:t>
                      </w:r>
                    </w:p>
                  </w:txbxContent>
                </v:textbox>
              </v:rect>
            </w:pict>
          </mc:Fallback>
        </mc:AlternateContent>
      </w:r>
      <w:r w:rsidR="00F934C1" w:rsidRPr="00BB4B6E">
        <w:rPr>
          <w:rFonts w:ascii="Calibri" w:hAnsi="Calibri" w:cs="Calibri"/>
          <w:noProof/>
        </w:rPr>
        <w:drawing>
          <wp:inline distT="0" distB="0" distL="0" distR="0" wp14:anchorId="76A98D78" wp14:editId="61A5195F">
            <wp:extent cx="2260617" cy="3212456"/>
            <wp:effectExtent l="0" t="0" r="0" b="0"/>
            <wp:docPr id="84"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1"/>
                    <a:srcRect/>
                    <a:stretch>
                      <a:fillRect/>
                    </a:stretch>
                  </pic:blipFill>
                  <pic:spPr bwMode="auto">
                    <a:xfrm>
                      <a:off x="0" y="0"/>
                      <a:ext cx="2269808" cy="3225517"/>
                    </a:xfrm>
                    <a:prstGeom prst="rect">
                      <a:avLst/>
                    </a:prstGeom>
                    <a:noFill/>
                    <a:ln w="9525">
                      <a:noFill/>
                      <a:miter lim="800000"/>
                      <a:headEnd/>
                      <a:tailEnd/>
                    </a:ln>
                  </pic:spPr>
                </pic:pic>
              </a:graphicData>
            </a:graphic>
          </wp:inline>
        </w:drawing>
      </w:r>
      <w:r w:rsidR="00F934C1" w:rsidRPr="00BB4B6E">
        <w:rPr>
          <w:rFonts w:ascii="Calibri" w:hAnsi="Calibri" w:cs="Calibri"/>
          <w:noProof/>
        </w:rPr>
        <w:drawing>
          <wp:inline distT="0" distB="0" distL="0" distR="0" wp14:anchorId="15CB3731" wp14:editId="301118EF">
            <wp:extent cx="2400035" cy="3234481"/>
            <wp:effectExtent l="0" t="0" r="0" b="0"/>
            <wp:docPr id="8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2"/>
                    <a:srcRect/>
                    <a:stretch>
                      <a:fillRect/>
                    </a:stretch>
                  </pic:blipFill>
                  <pic:spPr bwMode="auto">
                    <a:xfrm>
                      <a:off x="0" y="0"/>
                      <a:ext cx="2426538" cy="3270199"/>
                    </a:xfrm>
                    <a:prstGeom prst="rect">
                      <a:avLst/>
                    </a:prstGeom>
                    <a:noFill/>
                    <a:ln w="9525">
                      <a:noFill/>
                      <a:miter lim="800000"/>
                      <a:headEnd/>
                      <a:tailEnd/>
                    </a:ln>
                  </pic:spPr>
                </pic:pic>
              </a:graphicData>
            </a:graphic>
          </wp:inline>
        </w:drawing>
      </w:r>
    </w:p>
    <w:p w:rsidR="00F934C1" w:rsidRPr="00BB4B6E" w:rsidRDefault="00F934C1" w:rsidP="00F934C1">
      <w:pPr>
        <w:pStyle w:val="Heading5"/>
      </w:pPr>
      <w:bookmarkStart w:id="181" w:name="_Toc120047559"/>
      <w:bookmarkStart w:id="182" w:name="_Toc144222362"/>
      <w:r>
        <w:t>Figure</w:t>
      </w:r>
      <w:r w:rsidRPr="00BB4B6E">
        <w:t xml:space="preserve"> 4.</w:t>
      </w:r>
      <w:r w:rsidR="00C226E6" w:rsidRPr="00BB4B6E">
        <w:fldChar w:fldCharType="begin"/>
      </w:r>
      <w:r w:rsidRPr="00BB4B6E">
        <w:instrText xml:space="preserve"> SEQ Fig._4. \* ARABIC </w:instrText>
      </w:r>
      <w:r w:rsidR="00C226E6" w:rsidRPr="00BB4B6E">
        <w:fldChar w:fldCharType="separate"/>
      </w:r>
      <w:r w:rsidR="00301A90">
        <w:rPr>
          <w:noProof/>
        </w:rPr>
        <w:t>6</w:t>
      </w:r>
      <w:r w:rsidR="00C226E6" w:rsidRPr="00BB4B6E">
        <w:fldChar w:fldCharType="end"/>
      </w:r>
      <w:r w:rsidRPr="00BB4B6E">
        <w:t>: FTIR images of various nanofertilizers in the order (a) bone nHA, (b)synthetic nHA, (c)bone DAP nano, (d) synthetic DAP nano, (e) bone NPK nano, (f) synthetic NPK nano,(g) bone NPK-DAP nano, (h) synthetic NPK-DAP nano respectively.</w:t>
      </w:r>
      <w:bookmarkEnd w:id="181"/>
      <w:bookmarkEnd w:id="182"/>
    </w:p>
    <w:p w:rsidR="00F934C1" w:rsidRPr="00BB4B6E" w:rsidRDefault="00F934C1" w:rsidP="00F934C1">
      <w:pPr>
        <w:pStyle w:val="Default"/>
      </w:pPr>
    </w:p>
    <w:p w:rsidR="00F934C1" w:rsidRPr="00BB4B6E" w:rsidRDefault="00F934C1" w:rsidP="00F934C1">
      <w:pPr>
        <w:pStyle w:val="Default"/>
        <w:jc w:val="both"/>
      </w:pPr>
    </w:p>
    <w:p w:rsidR="00F934C1" w:rsidRPr="00BB4B6E" w:rsidRDefault="00F934C1" w:rsidP="00F934C1">
      <w:pPr>
        <w:pStyle w:val="Default"/>
        <w:spacing w:line="480" w:lineRule="auto"/>
        <w:jc w:val="both"/>
      </w:pPr>
      <w:r w:rsidRPr="00BB4B6E">
        <w:t>From micrographs, the functional groups were assigned using the peaks obtained from bone nHA nanofertilizers. A strong peak at 3455.53 cm</w:t>
      </w:r>
      <w:r w:rsidRPr="00BB4B6E">
        <w:rPr>
          <w:vertAlign w:val="superscript"/>
        </w:rPr>
        <w:t>-1</w:t>
      </w:r>
      <w:r w:rsidRPr="00BB4B6E">
        <w:t xml:space="preserve"> was signifying presence of the stretching alcohol group (O-H) found in apatite while the peak at 2066.80 cm</w:t>
      </w:r>
      <w:r w:rsidRPr="00BB4B6E">
        <w:rPr>
          <w:vertAlign w:val="superscript"/>
        </w:rPr>
        <w:t>-1</w:t>
      </w:r>
      <w:r w:rsidRPr="00BB4B6E">
        <w:t xml:space="preserve"> was assigned to stretching alkyne (-C≡C-) group. The strong peak at </w:t>
      </w:r>
      <w:r w:rsidRPr="00BB4B6E">
        <w:lastRenderedPageBreak/>
        <w:t>1640.49 cm</w:t>
      </w:r>
      <w:r w:rsidRPr="00BB4B6E">
        <w:rPr>
          <w:vertAlign w:val="superscript"/>
        </w:rPr>
        <w:t xml:space="preserve">-1 </w:t>
      </w:r>
      <w:r w:rsidRPr="00BB4B6E">
        <w:t>was assigned to Carbonyl group (-C=O-) while the medium peak at 1407.10 cm</w:t>
      </w:r>
      <w:r w:rsidRPr="00BB4B6E">
        <w:rPr>
          <w:vertAlign w:val="superscript"/>
        </w:rPr>
        <w:t xml:space="preserve">-1 </w:t>
      </w:r>
      <w:r w:rsidRPr="00BB4B6E">
        <w:t>signified presence of amide. The peak at 1289.34 cm</w:t>
      </w:r>
      <w:r w:rsidRPr="00BB4B6E">
        <w:rPr>
          <w:vertAlign w:val="superscript"/>
        </w:rPr>
        <w:t xml:space="preserve">-1 </w:t>
      </w:r>
      <w:r w:rsidRPr="00BB4B6E">
        <w:t>showed presence of C-N stretching aromatic amines. The peaks at 1093.66 and 1047.10 cm</w:t>
      </w:r>
      <w:r w:rsidRPr="00BB4B6E">
        <w:rPr>
          <w:vertAlign w:val="superscript"/>
        </w:rPr>
        <w:t xml:space="preserve">-1 </w:t>
      </w:r>
      <w:r w:rsidRPr="00BB4B6E">
        <w:t>indicated presence of C-N which is stretching aliphatic amine and PO</w:t>
      </w:r>
      <w:r w:rsidRPr="00BB4B6E">
        <w:rPr>
          <w:vertAlign w:val="subscript"/>
        </w:rPr>
        <w:t>4</w:t>
      </w:r>
      <w:r w:rsidRPr="00BB4B6E">
        <w:rPr>
          <w:vertAlign w:val="superscript"/>
        </w:rPr>
        <w:t>3-</w:t>
      </w:r>
      <w:r w:rsidRPr="00BB4B6E">
        <w:t xml:space="preserve"> respectively. The C-H bend alkenes group was noted at 874.73 cm</w:t>
      </w:r>
      <w:r w:rsidRPr="00BB4B6E">
        <w:rPr>
          <w:vertAlign w:val="superscript"/>
        </w:rPr>
        <w:t xml:space="preserve">-1 </w:t>
      </w:r>
      <w:r w:rsidRPr="00BB4B6E">
        <w:t>for synthetic NPK-DAP nanofertilizer. The peak at 468.71 cm</w:t>
      </w:r>
      <w:r w:rsidRPr="00BB4B6E">
        <w:rPr>
          <w:vertAlign w:val="superscript"/>
        </w:rPr>
        <w:t xml:space="preserve">-1 </w:t>
      </w:r>
      <w:r w:rsidRPr="00BB4B6E">
        <w:t xml:space="preserve">signified C-F stretch of alkynes group attributed to peak interaction between bone NPK-DAP nanofertilizer and fluoride in hydroxyapatites. </w:t>
      </w:r>
      <w:r w:rsidRPr="00BB4B6E">
        <w:rPr>
          <w:rFonts w:eastAsia="Times New Roman"/>
        </w:rPr>
        <w:t>Similar trends were observed in all other FTIR nanohydroxyapatite nanoparticles since the encapsulation with DAP and NPK fertilizers can’t change the structure of hydroxyapatites,</w:t>
      </w:r>
      <w:r w:rsidRPr="00BB4B6E">
        <w:t xml:space="preserve"> but increased their intensities</w:t>
      </w:r>
      <w:r w:rsidRPr="00BB4B6E">
        <w:rPr>
          <w:rFonts w:eastAsia="Times New Roman"/>
        </w:rPr>
        <w:t>.</w:t>
      </w:r>
      <w:r w:rsidRPr="00BB4B6E">
        <w:t xml:space="preserve"> Birendra </w:t>
      </w:r>
      <w:r w:rsidRPr="00BB4B6E">
        <w:rPr>
          <w:i/>
        </w:rPr>
        <w:t>et al</w:t>
      </w:r>
      <w:r w:rsidRPr="00BB4B6E">
        <w:t>. (2019) obtained related results in characterization of synthetic hydroxyapatites that had major functional groups as OH and PO</w:t>
      </w:r>
      <w:r w:rsidRPr="00BB4B6E">
        <w:rPr>
          <w:vertAlign w:val="subscript"/>
        </w:rPr>
        <w:t>4</w:t>
      </w:r>
      <w:r w:rsidRPr="00BB4B6E">
        <w:rPr>
          <w:vertAlign w:val="superscript"/>
        </w:rPr>
        <w:t>3-</w:t>
      </w:r>
      <w:r w:rsidR="00E90A94">
        <w:t xml:space="preserve">. </w:t>
      </w:r>
    </w:p>
    <w:p w:rsidR="00F934C1" w:rsidRPr="00BB4B6E" w:rsidRDefault="00F934C1" w:rsidP="00F934C1">
      <w:pPr>
        <w:jc w:val="left"/>
        <w:rPr>
          <w:rFonts w:eastAsiaTheme="minorHAnsi"/>
          <w:color w:val="FF0000"/>
        </w:rPr>
      </w:pPr>
    </w:p>
    <w:p w:rsidR="00F934C1" w:rsidRPr="00816B03" w:rsidRDefault="00F934C1" w:rsidP="00F934C1">
      <w:pPr>
        <w:pStyle w:val="Heading2"/>
        <w:spacing w:before="0"/>
        <w:rPr>
          <w:rFonts w:cs="Times New Roman"/>
          <w:szCs w:val="24"/>
          <w:lang w:val="sw-KE" w:eastAsia="sw-KE"/>
        </w:rPr>
      </w:pPr>
      <w:bookmarkStart w:id="183" w:name="_Toc144820058"/>
      <w:r w:rsidRPr="00816B03">
        <w:rPr>
          <w:rFonts w:cs="Times New Roman"/>
          <w:szCs w:val="24"/>
          <w:lang w:val="sw-KE" w:eastAsia="sw-KE"/>
        </w:rPr>
        <w:t>4.4 Cadmium and Lead Uptake</w:t>
      </w:r>
      <w:bookmarkEnd w:id="183"/>
    </w:p>
    <w:p w:rsidR="00F934C1" w:rsidRPr="00BB4B6E" w:rsidRDefault="00F934C1" w:rsidP="00F934C1">
      <w:pPr>
        <w:pStyle w:val="Heading3"/>
        <w:spacing w:before="0"/>
        <w:rPr>
          <w:rFonts w:cs="Times New Roman"/>
          <w:lang w:val="sw-KE" w:eastAsia="sw-KE"/>
        </w:rPr>
      </w:pPr>
      <w:bookmarkStart w:id="184" w:name="_Toc144820059"/>
      <w:r w:rsidRPr="00BB4B6E">
        <w:rPr>
          <w:rFonts w:cs="Times New Roman"/>
          <w:lang w:val="sw-KE" w:eastAsia="sw-KE"/>
        </w:rPr>
        <w:t xml:space="preserve">4.4.1 </w:t>
      </w:r>
      <w:r w:rsidRPr="00BB4B6E">
        <w:rPr>
          <w:rFonts w:cs="Times New Roman"/>
        </w:rPr>
        <w:t>Uptake Levels of Cd in Crops Grown Using Nano-fertilizers</w:t>
      </w:r>
      <w:bookmarkEnd w:id="184"/>
    </w:p>
    <w:p w:rsidR="00F934C1" w:rsidRPr="00BB4B6E" w:rsidRDefault="00E90A94" w:rsidP="00F934C1">
      <w:pPr>
        <w:rPr>
          <w:lang w:val="sw-KE" w:eastAsia="sw-KE"/>
        </w:rPr>
      </w:pPr>
      <w:r>
        <w:rPr>
          <w:lang w:val="sw-KE" w:eastAsia="sw-KE"/>
        </w:rPr>
        <w:t>Tables 4.3 to 4.5</w:t>
      </w:r>
      <w:r w:rsidR="00F934C1" w:rsidRPr="00BB4B6E">
        <w:rPr>
          <w:lang w:val="sw-KE" w:eastAsia="sw-KE"/>
        </w:rPr>
        <w:t xml:space="preserve"> shows the uptake levels of cadmium (Cd) in kale, spinach and bean leaves grown using various treatments of the </w:t>
      </w:r>
      <w:r w:rsidR="00F934C1" w:rsidRPr="00BB4B6E">
        <w:rPr>
          <w:color w:val="0E101A"/>
        </w:rPr>
        <w:t>synthetic (</w:t>
      </w:r>
      <w:r w:rsidR="00F934C1" w:rsidRPr="00BB4B6E">
        <w:rPr>
          <w:color w:val="000000" w:themeColor="text1"/>
          <w:kern w:val="24"/>
        </w:rPr>
        <w:t xml:space="preserve">Syn nHA) </w:t>
      </w:r>
      <w:r w:rsidR="00F934C1" w:rsidRPr="00BB4B6E">
        <w:rPr>
          <w:color w:val="0E101A"/>
        </w:rPr>
        <w:t>and bone hydroxyapatite (</w:t>
      </w:r>
      <w:r w:rsidR="00F934C1" w:rsidRPr="00BB4B6E">
        <w:rPr>
          <w:color w:val="000000" w:themeColor="text1"/>
          <w:kern w:val="24"/>
        </w:rPr>
        <w:t xml:space="preserve">Bone nHA) </w:t>
      </w:r>
      <w:r w:rsidR="00F934C1" w:rsidRPr="00BB4B6E">
        <w:rPr>
          <w:lang w:val="sw-KE" w:eastAsia="sw-KE"/>
        </w:rPr>
        <w:t>nano-fertilizer at 30, 60 and 90 day.</w:t>
      </w:r>
      <w:r>
        <w:rPr>
          <w:lang w:val="sw-KE" w:eastAsia="sw-KE"/>
        </w:rPr>
        <w:t xml:space="preserve"> Table 4.6 shows a comparison of Cd uptake levels of kale, spinach and beans at 90th day</w:t>
      </w:r>
    </w:p>
    <w:p w:rsidR="00F934C1" w:rsidRPr="00BB4B6E" w:rsidRDefault="00F934C1" w:rsidP="00F934C1">
      <w:pPr>
        <w:pStyle w:val="Caption"/>
      </w:pPr>
      <w:bookmarkStart w:id="185" w:name="_Toc85455559"/>
    </w:p>
    <w:p w:rsidR="00F934C1" w:rsidRPr="00BB4B6E" w:rsidRDefault="00F934C1" w:rsidP="00F934C1"/>
    <w:p w:rsidR="00F934C1" w:rsidRPr="00BB4B6E" w:rsidRDefault="00F934C1" w:rsidP="00F934C1">
      <w:pPr>
        <w:autoSpaceDE/>
        <w:autoSpaceDN/>
        <w:adjustRightInd/>
        <w:spacing w:after="200" w:line="276" w:lineRule="auto"/>
        <w:jc w:val="left"/>
        <w:rPr>
          <w:b/>
          <w:bCs/>
        </w:rPr>
      </w:pPr>
      <w:r w:rsidRPr="00BB4B6E">
        <w:br w:type="page"/>
      </w:r>
    </w:p>
    <w:p w:rsidR="00F934C1" w:rsidRPr="00BB4B6E" w:rsidRDefault="00F934C1" w:rsidP="00F934C1">
      <w:pPr>
        <w:pStyle w:val="Heading4"/>
        <w:rPr>
          <w:lang w:eastAsia="sw-KE"/>
        </w:rPr>
      </w:pPr>
      <w:bookmarkStart w:id="186" w:name="_Toc112877967"/>
      <w:bookmarkStart w:id="187" w:name="_Toc112880600"/>
      <w:bookmarkStart w:id="188" w:name="_Toc117003057"/>
      <w:bookmarkStart w:id="189" w:name="_Toc120047571"/>
      <w:bookmarkStart w:id="190" w:name="_Toc144222334"/>
      <w:r w:rsidRPr="00BB4B6E">
        <w:lastRenderedPageBreak/>
        <w:t>Table 4.</w:t>
      </w:r>
      <w:r>
        <w:t>3</w:t>
      </w:r>
      <w:r w:rsidRPr="00BB4B6E">
        <w:rPr>
          <w:noProof/>
        </w:rPr>
        <w:t xml:space="preserve">: </w:t>
      </w:r>
      <w:r>
        <w:rPr>
          <w:lang w:eastAsia="sw-KE"/>
        </w:rPr>
        <w:t>Levels of c</w:t>
      </w:r>
      <w:r w:rsidRPr="00BB4B6E">
        <w:rPr>
          <w:lang w:eastAsia="sw-KE"/>
        </w:rPr>
        <w:t>admium in kale leaves grown using nano-fertilizers at 30, 60 and 90 day</w:t>
      </w:r>
      <w:bookmarkEnd w:id="185"/>
      <w:bookmarkEnd w:id="186"/>
      <w:bookmarkEnd w:id="187"/>
      <w:bookmarkEnd w:id="188"/>
      <w:bookmarkEnd w:id="189"/>
      <w:bookmarkEnd w:id="190"/>
    </w:p>
    <w:tbl>
      <w:tblPr>
        <w:tblW w:w="8596" w:type="dxa"/>
        <w:tblInd w:w="-32" w:type="dxa"/>
        <w:tblCellMar>
          <w:left w:w="0" w:type="dxa"/>
          <w:right w:w="0" w:type="dxa"/>
        </w:tblCellMar>
        <w:tblLook w:val="04A0" w:firstRow="1" w:lastRow="0" w:firstColumn="1" w:lastColumn="0" w:noHBand="0" w:noVBand="1"/>
      </w:tblPr>
      <w:tblGrid>
        <w:gridCol w:w="2430"/>
        <w:gridCol w:w="2095"/>
        <w:gridCol w:w="2096"/>
        <w:gridCol w:w="1569"/>
        <w:gridCol w:w="406"/>
      </w:tblGrid>
      <w:tr w:rsidR="00F934C1" w:rsidRPr="00BB4B6E" w:rsidTr="00F934C1">
        <w:trPr>
          <w:trHeight w:val="800"/>
        </w:trPr>
        <w:tc>
          <w:tcPr>
            <w:tcW w:w="243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576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b/>
                <w:bCs/>
                <w:color w:val="000000" w:themeColor="text1"/>
                <w:kern w:val="24"/>
              </w:rPr>
            </w:pPr>
            <w:r w:rsidRPr="00BB4B6E">
              <w:rPr>
                <w:b/>
                <w:bCs/>
                <w:color w:val="000000" w:themeColor="text1"/>
                <w:kern w:val="24"/>
              </w:rPr>
              <w:t>[Cd]</w:t>
            </w:r>
          </w:p>
          <w:p w:rsidR="00F934C1" w:rsidRPr="00BB4B6E" w:rsidRDefault="00F934C1" w:rsidP="00F934C1">
            <w:pPr>
              <w:autoSpaceDE/>
              <w:autoSpaceDN/>
              <w:adjustRightInd/>
              <w:spacing w:line="240" w:lineRule="auto"/>
              <w:jc w:val="center"/>
              <w:rPr>
                <w:color w:val="000000" w:themeColor="text1"/>
              </w:rPr>
            </w:pPr>
            <w:r w:rsidRPr="00BB4B6E">
              <w:rPr>
                <w:b/>
                <w:color w:val="000000"/>
              </w:rPr>
              <w:t>Mean ± SD</w:t>
            </w:r>
            <w:r w:rsidRPr="00BB4B6E">
              <w:rPr>
                <w:b/>
                <w:bCs/>
                <w:color w:val="000000" w:themeColor="text1"/>
                <w:kern w:val="24"/>
              </w:rPr>
              <w:t>(µgg</w:t>
            </w:r>
            <w:r w:rsidRPr="00BB4B6E">
              <w:rPr>
                <w:b/>
                <w:bCs/>
                <w:color w:val="000000" w:themeColor="text1"/>
                <w:kern w:val="24"/>
                <w:position w:val="7"/>
                <w:vertAlign w:val="superscript"/>
              </w:rPr>
              <w:t>-1</w:t>
            </w:r>
            <w:r w:rsidRPr="00BB4B6E">
              <w:rPr>
                <w:b/>
                <w:bCs/>
                <w:color w:val="000000" w:themeColor="text1"/>
                <w:kern w:val="24"/>
              </w:rPr>
              <w:t xml:space="preserve">) </w:t>
            </w:r>
          </w:p>
          <w:p w:rsidR="00F934C1" w:rsidRPr="00BB4B6E" w:rsidRDefault="00F934C1" w:rsidP="00F934C1">
            <w:pPr>
              <w:autoSpaceDE/>
              <w:autoSpaceDN/>
              <w:adjustRightInd/>
              <w:spacing w:line="276" w:lineRule="auto"/>
              <w:ind w:left="187"/>
              <w:jc w:val="center"/>
            </w:pPr>
            <w:r w:rsidRPr="00BB4B6E">
              <w:rPr>
                <w:b/>
                <w:bCs/>
                <w:color w:val="000000" w:themeColor="text1"/>
                <w:kern w:val="24"/>
              </w:rPr>
              <w:t>n=9</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43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2095"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30 days</w:t>
            </w:r>
          </w:p>
        </w:tc>
        <w:tc>
          <w:tcPr>
            <w:tcW w:w="209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60 days</w:t>
            </w:r>
          </w:p>
        </w:tc>
        <w:tc>
          <w:tcPr>
            <w:tcW w:w="1569"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90 days</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43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Bone nHA </w:t>
            </w:r>
          </w:p>
        </w:tc>
        <w:tc>
          <w:tcPr>
            <w:tcW w:w="2095"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40.12±2.03</w:t>
            </w:r>
            <w:r w:rsidRPr="00BB4B6E">
              <w:rPr>
                <w:bCs/>
                <w:vertAlign w:val="superscript"/>
              </w:rPr>
              <w:t>aC</w:t>
            </w:r>
          </w:p>
        </w:tc>
        <w:tc>
          <w:tcPr>
            <w:tcW w:w="2096"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16.33±0.31</w:t>
            </w:r>
            <w:r w:rsidRPr="00BB4B6E">
              <w:rPr>
                <w:bCs/>
                <w:vertAlign w:val="superscript"/>
              </w:rPr>
              <w:t>aB</w:t>
            </w:r>
          </w:p>
        </w:tc>
        <w:tc>
          <w:tcPr>
            <w:tcW w:w="1569"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2.94±0.29</w:t>
            </w:r>
            <w:r w:rsidRPr="00BB4B6E">
              <w:rPr>
                <w:bCs/>
                <w:vertAlign w:val="superscript"/>
              </w:rPr>
              <w:t>aA</w:t>
            </w:r>
          </w:p>
        </w:tc>
        <w:tc>
          <w:tcPr>
            <w:tcW w:w="406"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rPr>
              <w:t xml:space="preserve">Syn nHA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51.18±1.52</w:t>
            </w:r>
            <w:r w:rsidRPr="00BB4B6E">
              <w:rPr>
                <w:bCs/>
                <w:vertAlign w:val="superscript"/>
              </w:rPr>
              <w:t>cC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20.17±2.30</w:t>
            </w:r>
            <w:r w:rsidRPr="00BB4B6E">
              <w:rPr>
                <w:bCs/>
                <w:vertAlign w:val="superscript"/>
              </w:rPr>
              <w:t>bB</w:t>
            </w:r>
          </w:p>
        </w:tc>
        <w:tc>
          <w:tcPr>
            <w:tcW w:w="1569"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3.91±1.92</w:t>
            </w:r>
            <w:r w:rsidRPr="00BB4B6E">
              <w:rPr>
                <w:bCs/>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rPr>
              <w:t xml:space="preserve">Bone nHA +DAP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45.66±1.07</w:t>
            </w:r>
            <w:r w:rsidRPr="00BB4B6E">
              <w:rPr>
                <w:bCs/>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19.97±0.93</w:t>
            </w:r>
            <w:r w:rsidRPr="00BB4B6E">
              <w:rPr>
                <w:bCs/>
                <w:vertAlign w:val="superscript"/>
              </w:rPr>
              <w:t>bB</w:t>
            </w:r>
          </w:p>
        </w:tc>
        <w:tc>
          <w:tcPr>
            <w:tcW w:w="1569"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3.29±0.72</w:t>
            </w:r>
            <w:r w:rsidRPr="00BB4B6E">
              <w:rPr>
                <w:bCs/>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rPr>
              <w:t xml:space="preserve">Syn nHA +DAP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49.08±0.75</w:t>
            </w:r>
            <w:r w:rsidRPr="00BB4B6E">
              <w:rPr>
                <w:bCs/>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23.83±2.19</w:t>
            </w:r>
            <w:r w:rsidRPr="00BB4B6E">
              <w:rPr>
                <w:bCs/>
                <w:vertAlign w:val="superscript"/>
              </w:rPr>
              <w:t>cB</w:t>
            </w:r>
          </w:p>
        </w:tc>
        <w:tc>
          <w:tcPr>
            <w:tcW w:w="1569"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5.16±1.64</w:t>
            </w:r>
            <w:r w:rsidRPr="00BB4B6E">
              <w:rPr>
                <w:bCs/>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rPr>
              <w:t xml:space="preserve">Bone nHA+ 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46.00±1.03</w:t>
            </w:r>
            <w:r w:rsidRPr="00BB4B6E">
              <w:rPr>
                <w:bCs/>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20.74±1.58</w:t>
            </w:r>
            <w:r w:rsidRPr="00BB4B6E">
              <w:rPr>
                <w:bCs/>
                <w:vertAlign w:val="superscript"/>
              </w:rPr>
              <w:t>bB</w:t>
            </w:r>
          </w:p>
        </w:tc>
        <w:tc>
          <w:tcPr>
            <w:tcW w:w="1569"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6.18±1.13</w:t>
            </w:r>
            <w:r w:rsidRPr="00BB4B6E">
              <w:rPr>
                <w:bCs/>
                <w:vertAlign w:val="superscript"/>
              </w:rPr>
              <w:t>dA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rPr>
              <w:t xml:space="preserve">Syn nHA+ 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51.21±1.14</w:t>
            </w:r>
            <w:r w:rsidRPr="00BB4B6E">
              <w:rPr>
                <w:bCs/>
                <w:vertAlign w:val="superscript"/>
              </w:rPr>
              <w:t>dC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24.81±0.38</w:t>
            </w:r>
            <w:r w:rsidRPr="00BB4B6E">
              <w:rPr>
                <w:bCs/>
                <w:vertAlign w:val="superscript"/>
              </w:rPr>
              <w:t>cB</w:t>
            </w:r>
          </w:p>
        </w:tc>
        <w:tc>
          <w:tcPr>
            <w:tcW w:w="1569"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7.42±0.30</w:t>
            </w:r>
            <w:r w:rsidRPr="00BB4B6E">
              <w:rPr>
                <w:bCs/>
                <w:vertAlign w:val="superscript"/>
              </w:rPr>
              <w:t>eA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rPr>
              <w:t xml:space="preserve">Bone nHA+DAP+NPK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42.90±0.34</w:t>
            </w:r>
            <w:r w:rsidRPr="00BB4B6E">
              <w:rPr>
                <w:bCs/>
                <w:vertAlign w:val="superscript"/>
              </w:rPr>
              <w:t>aC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20.03±2.14</w:t>
            </w:r>
            <w:r w:rsidRPr="00BB4B6E">
              <w:rPr>
                <w:bCs/>
                <w:vertAlign w:val="superscript"/>
              </w:rPr>
              <w:t>bB</w:t>
            </w:r>
          </w:p>
        </w:tc>
        <w:tc>
          <w:tcPr>
            <w:tcW w:w="1569"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4.61±1.62</w:t>
            </w:r>
            <w:r w:rsidRPr="00BB4B6E">
              <w:rPr>
                <w:bCs/>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Syn nHA+DAP+NPK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50.76±2.61</w:t>
            </w:r>
            <w:r w:rsidRPr="00BB4B6E">
              <w:rPr>
                <w:bCs/>
                <w:vertAlign w:val="superscript"/>
              </w:rPr>
              <w:t>dC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23.45±5.49</w:t>
            </w:r>
            <w:r w:rsidRPr="00BB4B6E">
              <w:rPr>
                <w:bCs/>
                <w:vertAlign w:val="superscript"/>
              </w:rPr>
              <w:t>cB</w:t>
            </w:r>
          </w:p>
        </w:tc>
        <w:tc>
          <w:tcPr>
            <w:tcW w:w="1569"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4.57±3.58</w:t>
            </w:r>
            <w:r w:rsidRPr="00BB4B6E">
              <w:rPr>
                <w:bCs/>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DAP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65.23±3.31</w:t>
            </w:r>
            <w:r w:rsidRPr="00BB4B6E">
              <w:rPr>
                <w:bCs/>
                <w:vertAlign w:val="superscript"/>
              </w:rPr>
              <w:t>gC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43.25±2.32</w:t>
            </w:r>
            <w:r w:rsidRPr="00BB4B6E">
              <w:rPr>
                <w:bCs/>
                <w:vertAlign w:val="superscript"/>
              </w:rPr>
              <w:t>eB</w:t>
            </w:r>
          </w:p>
        </w:tc>
        <w:tc>
          <w:tcPr>
            <w:tcW w:w="1569"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38.66±1.79</w:t>
            </w:r>
            <w:r w:rsidRPr="00BB4B6E">
              <w:rPr>
                <w:bCs/>
                <w:vertAlign w:val="superscript"/>
              </w:rPr>
              <w:t>gA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61.75±2.76</w:t>
            </w:r>
            <w:r w:rsidRPr="00BB4B6E">
              <w:rPr>
                <w:bCs/>
                <w:vertAlign w:val="superscript"/>
              </w:rPr>
              <w:t>fC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44.26±2.02</w:t>
            </w:r>
            <w:r w:rsidRPr="00BB4B6E">
              <w:rPr>
                <w:bCs/>
                <w:vertAlign w:val="superscript"/>
              </w:rPr>
              <w:t>eB</w:t>
            </w:r>
          </w:p>
        </w:tc>
        <w:tc>
          <w:tcPr>
            <w:tcW w:w="1569"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37.38±1.58</w:t>
            </w:r>
            <w:r w:rsidRPr="00BB4B6E">
              <w:rPr>
                <w:bCs/>
                <w:vertAlign w:val="superscript"/>
              </w:rPr>
              <w:t>gA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DAP+NPK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59.46±0.39</w:t>
            </w:r>
            <w:r w:rsidRPr="00BB4B6E">
              <w:rPr>
                <w:bCs/>
                <w:vertAlign w:val="superscript"/>
              </w:rPr>
              <w:t>fC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68.40±3.73</w:t>
            </w:r>
            <w:r w:rsidRPr="00BB4B6E">
              <w:rPr>
                <w:bCs/>
                <w:vertAlign w:val="superscript"/>
              </w:rPr>
              <w:t>fB</w:t>
            </w:r>
          </w:p>
        </w:tc>
        <w:tc>
          <w:tcPr>
            <w:tcW w:w="1569"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37.62±2.87</w:t>
            </w:r>
            <w:r w:rsidRPr="00BB4B6E">
              <w:rPr>
                <w:bCs/>
                <w:vertAlign w:val="superscript"/>
              </w:rPr>
              <w:t>gA</w:t>
            </w:r>
          </w:p>
        </w:tc>
        <w:tc>
          <w:tcPr>
            <w:tcW w:w="406"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Non-treated control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52.20±2.92</w:t>
            </w:r>
            <w:r w:rsidRPr="00BB4B6E">
              <w:rPr>
                <w:bCs/>
                <w:vertAlign w:val="superscript"/>
              </w:rPr>
              <w:t>eC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38.74±1.18</w:t>
            </w:r>
            <w:r w:rsidRPr="00BB4B6E">
              <w:rPr>
                <w:bCs/>
                <w:vertAlign w:val="superscript"/>
              </w:rPr>
              <w:t>dB</w:t>
            </w:r>
          </w:p>
        </w:tc>
        <w:tc>
          <w:tcPr>
            <w:tcW w:w="1569"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30.15±0.87</w:t>
            </w:r>
            <w:r w:rsidRPr="00BB4B6E">
              <w:rPr>
                <w:bCs/>
                <w:vertAlign w:val="superscript"/>
              </w:rPr>
              <w:t>fA</w:t>
            </w:r>
          </w:p>
        </w:tc>
        <w:tc>
          <w:tcPr>
            <w:tcW w:w="406"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43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center"/>
              <w:rPr>
                <w:color w:val="000000" w:themeColor="text1"/>
              </w:rPr>
            </w:pPr>
          </w:p>
        </w:tc>
        <w:tc>
          <w:tcPr>
            <w:tcW w:w="2095"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2096"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000000" w:themeColor="text1"/>
                <w:sz w:val="24"/>
                <w:szCs w:val="24"/>
              </w:rPr>
            </w:pPr>
            <w:r w:rsidRPr="00BB4B6E">
              <w:rPr>
                <w:b w:val="0"/>
                <w:color w:val="000000" w:themeColor="text1"/>
                <w:sz w:val="24"/>
                <w:szCs w:val="24"/>
              </w:rPr>
              <w:t>P-value˂0.01</w:t>
            </w:r>
          </w:p>
        </w:tc>
        <w:tc>
          <w:tcPr>
            <w:tcW w:w="1569"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p>
        </w:tc>
        <w:tc>
          <w:tcPr>
            <w:tcW w:w="406"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934C1">
      <w:pPr>
        <w:spacing w:line="240" w:lineRule="auto"/>
        <w:rPr>
          <w:color w:val="000000" w:themeColor="text1"/>
          <w:lang w:eastAsia="sw-KE"/>
        </w:rPr>
      </w:pPr>
      <w:r w:rsidRPr="00BB4B6E">
        <w:rPr>
          <w:color w:val="000000" w:themeColor="text1"/>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spacing w:line="240" w:lineRule="auto"/>
        <w:rPr>
          <w:color w:val="000000"/>
        </w:rPr>
      </w:pPr>
    </w:p>
    <w:p w:rsidR="00F934C1" w:rsidRPr="00BB4B6E" w:rsidRDefault="00F934C1" w:rsidP="00F934C1">
      <w:pPr>
        <w:pStyle w:val="Caption"/>
        <w:rPr>
          <w:color w:val="auto"/>
          <w:sz w:val="24"/>
          <w:szCs w:val="24"/>
        </w:rPr>
      </w:pPr>
    </w:p>
    <w:p w:rsidR="00F934C1" w:rsidRPr="00BB4B6E" w:rsidRDefault="00F934C1" w:rsidP="00F934C1"/>
    <w:p w:rsidR="00F934C1" w:rsidRPr="00BB4B6E" w:rsidRDefault="00F934C1" w:rsidP="00F934C1">
      <w:pPr>
        <w:pStyle w:val="Caption"/>
        <w:rPr>
          <w:color w:val="auto"/>
          <w:sz w:val="24"/>
          <w:szCs w:val="24"/>
        </w:rPr>
      </w:pPr>
    </w:p>
    <w:p w:rsidR="00F934C1" w:rsidRPr="00BB4B6E" w:rsidRDefault="00F934C1" w:rsidP="00F934C1">
      <w:pPr>
        <w:autoSpaceDE/>
        <w:autoSpaceDN/>
        <w:adjustRightInd/>
        <w:spacing w:after="200" w:line="276" w:lineRule="auto"/>
        <w:jc w:val="left"/>
        <w:rPr>
          <w:b/>
          <w:bCs/>
        </w:rPr>
      </w:pPr>
      <w:bookmarkStart w:id="191" w:name="_Toc112877968"/>
      <w:bookmarkStart w:id="192" w:name="_Toc112880601"/>
      <w:bookmarkStart w:id="193" w:name="_Toc117003058"/>
      <w:r w:rsidRPr="00BB4B6E">
        <w:br w:type="page"/>
      </w:r>
    </w:p>
    <w:p w:rsidR="00F934C1" w:rsidRPr="00BB4B6E" w:rsidRDefault="00F934C1" w:rsidP="00F934C1">
      <w:pPr>
        <w:pStyle w:val="Heading4"/>
        <w:rPr>
          <w:lang w:eastAsia="sw-KE"/>
        </w:rPr>
      </w:pPr>
      <w:bookmarkStart w:id="194" w:name="_Toc120047572"/>
      <w:bookmarkStart w:id="195" w:name="_Toc144222335"/>
      <w:r w:rsidRPr="00BB4B6E">
        <w:lastRenderedPageBreak/>
        <w:t>Table 4.</w:t>
      </w:r>
      <w:r>
        <w:t>4</w:t>
      </w:r>
      <w:r w:rsidRPr="00BB4B6E">
        <w:t>:</w:t>
      </w:r>
      <w:r>
        <w:rPr>
          <w:lang w:eastAsia="sw-KE"/>
        </w:rPr>
        <w:t xml:space="preserve"> Levels of c</w:t>
      </w:r>
      <w:r w:rsidRPr="00BB4B6E">
        <w:rPr>
          <w:lang w:eastAsia="sw-KE"/>
        </w:rPr>
        <w:t>admium in spinach leaves grown using nano-fertilizers at 30, 60 and 90 day</w:t>
      </w:r>
      <w:bookmarkEnd w:id="191"/>
      <w:bookmarkEnd w:id="192"/>
      <w:bookmarkEnd w:id="193"/>
      <w:bookmarkEnd w:id="194"/>
      <w:bookmarkEnd w:id="195"/>
    </w:p>
    <w:tbl>
      <w:tblPr>
        <w:tblW w:w="8596" w:type="dxa"/>
        <w:tblInd w:w="58" w:type="dxa"/>
        <w:tblCellMar>
          <w:left w:w="0" w:type="dxa"/>
          <w:right w:w="0" w:type="dxa"/>
        </w:tblCellMar>
        <w:tblLook w:val="04A0" w:firstRow="1" w:lastRow="0" w:firstColumn="1" w:lastColumn="0" w:noHBand="0" w:noVBand="1"/>
      </w:tblPr>
      <w:tblGrid>
        <w:gridCol w:w="2700"/>
        <w:gridCol w:w="1800"/>
        <w:gridCol w:w="2096"/>
        <w:gridCol w:w="1594"/>
        <w:gridCol w:w="406"/>
      </w:tblGrid>
      <w:tr w:rsidR="00F934C1" w:rsidRPr="00BB4B6E" w:rsidTr="00F934C1">
        <w:trPr>
          <w:trHeight w:val="800"/>
        </w:trPr>
        <w:tc>
          <w:tcPr>
            <w:tcW w:w="270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549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b/>
                <w:bCs/>
                <w:color w:val="000000" w:themeColor="text1"/>
                <w:kern w:val="24"/>
              </w:rPr>
            </w:pPr>
            <w:r w:rsidRPr="00BB4B6E">
              <w:rPr>
                <w:b/>
                <w:bCs/>
                <w:color w:val="000000" w:themeColor="text1"/>
                <w:kern w:val="24"/>
              </w:rPr>
              <w:t>[Cd]</w:t>
            </w:r>
          </w:p>
          <w:p w:rsidR="00F934C1" w:rsidRPr="00BB4B6E" w:rsidRDefault="00F934C1" w:rsidP="00F934C1">
            <w:pPr>
              <w:autoSpaceDE/>
              <w:autoSpaceDN/>
              <w:adjustRightInd/>
              <w:spacing w:line="240" w:lineRule="auto"/>
              <w:jc w:val="center"/>
              <w:rPr>
                <w:color w:val="000000" w:themeColor="text1"/>
              </w:rPr>
            </w:pPr>
            <w:r w:rsidRPr="00BB4B6E">
              <w:rPr>
                <w:b/>
                <w:color w:val="000000"/>
              </w:rPr>
              <w:t>Mean ± SD</w:t>
            </w:r>
            <w:r w:rsidRPr="00BB4B6E">
              <w:rPr>
                <w:b/>
                <w:bCs/>
                <w:color w:val="000000" w:themeColor="text1"/>
                <w:kern w:val="24"/>
              </w:rPr>
              <w:t>(µgg</w:t>
            </w:r>
            <w:r w:rsidRPr="00BB4B6E">
              <w:rPr>
                <w:b/>
                <w:bCs/>
                <w:color w:val="000000" w:themeColor="text1"/>
                <w:kern w:val="24"/>
                <w:position w:val="7"/>
                <w:vertAlign w:val="superscript"/>
              </w:rPr>
              <w:t>-1</w:t>
            </w:r>
            <w:r w:rsidRPr="00BB4B6E">
              <w:rPr>
                <w:b/>
                <w:bCs/>
                <w:color w:val="000000" w:themeColor="text1"/>
                <w:kern w:val="24"/>
              </w:rPr>
              <w:t xml:space="preserve">) </w:t>
            </w:r>
          </w:p>
          <w:p w:rsidR="00F934C1" w:rsidRPr="00BB4B6E" w:rsidRDefault="00F934C1" w:rsidP="00F934C1">
            <w:pPr>
              <w:autoSpaceDE/>
              <w:autoSpaceDN/>
              <w:adjustRightInd/>
              <w:spacing w:line="276" w:lineRule="auto"/>
              <w:ind w:left="187"/>
              <w:jc w:val="center"/>
            </w:pPr>
            <w:r w:rsidRPr="00BB4B6E">
              <w:rPr>
                <w:b/>
                <w:bCs/>
                <w:color w:val="000000" w:themeColor="text1"/>
                <w:kern w:val="24"/>
              </w:rPr>
              <w:t>n=9</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70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80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30 days</w:t>
            </w:r>
          </w:p>
        </w:tc>
        <w:tc>
          <w:tcPr>
            <w:tcW w:w="209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60 days</w:t>
            </w:r>
          </w:p>
        </w:tc>
        <w:tc>
          <w:tcPr>
            <w:tcW w:w="1594"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90 days</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70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Bone nHA </w:t>
            </w:r>
          </w:p>
        </w:tc>
        <w:tc>
          <w:tcPr>
            <w:tcW w:w="18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57.12±2.01</w:t>
            </w:r>
            <w:r w:rsidRPr="00BB4B6E">
              <w:rPr>
                <w:bCs/>
                <w:vertAlign w:val="superscript"/>
              </w:rPr>
              <w:t>aC</w:t>
            </w:r>
          </w:p>
        </w:tc>
        <w:tc>
          <w:tcPr>
            <w:tcW w:w="2096"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18.51±1.13</w:t>
            </w:r>
            <w:r w:rsidRPr="00BB4B6E">
              <w:rPr>
                <w:bCs/>
                <w:vertAlign w:val="superscript"/>
              </w:rPr>
              <w:t>aB</w:t>
            </w:r>
          </w:p>
        </w:tc>
        <w:tc>
          <w:tcPr>
            <w:tcW w:w="1594"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3.56±0.93</w:t>
            </w:r>
            <w:r w:rsidRPr="00BB4B6E">
              <w:rPr>
                <w:bCs/>
                <w:vertAlign w:val="superscript"/>
              </w:rPr>
              <w:t>aA</w:t>
            </w:r>
          </w:p>
        </w:tc>
        <w:tc>
          <w:tcPr>
            <w:tcW w:w="406"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rPr>
              <w:t xml:space="preserve">Syn nHA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60.18±1.48</w:t>
            </w:r>
            <w:r w:rsidRPr="00BB4B6E">
              <w:rPr>
                <w:bCs/>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24.03±1.28</w:t>
            </w:r>
            <w:r w:rsidRPr="00BB4B6E">
              <w:rPr>
                <w:bCs/>
                <w:vertAlign w:val="superscript"/>
              </w:rPr>
              <w:t>cB</w:t>
            </w:r>
          </w:p>
        </w:tc>
        <w:tc>
          <w:tcPr>
            <w:tcW w:w="159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5.88±0.91</w:t>
            </w:r>
            <w:r w:rsidRPr="00BB4B6E">
              <w:rPr>
                <w:bCs/>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rPr>
              <w:t xml:space="preserve">Bone nHA +DAP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58.66±1.05</w:t>
            </w:r>
            <w:r w:rsidRPr="00BB4B6E">
              <w:rPr>
                <w:bCs/>
                <w:vertAlign w:val="superscript"/>
              </w:rPr>
              <w:t>aC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20.45±0.49</w:t>
            </w:r>
            <w:r w:rsidRPr="00BB4B6E">
              <w:rPr>
                <w:bCs/>
                <w:vertAlign w:val="superscript"/>
              </w:rPr>
              <w:t>bB</w:t>
            </w:r>
          </w:p>
        </w:tc>
        <w:tc>
          <w:tcPr>
            <w:tcW w:w="159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4.35±0.38</w:t>
            </w:r>
            <w:r w:rsidRPr="00BB4B6E">
              <w:rPr>
                <w:bCs/>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rPr>
              <w:t xml:space="preserve">Syn nHA +DAP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62.08±0.86</w:t>
            </w:r>
            <w:r w:rsidRPr="00BB4B6E">
              <w:rPr>
                <w:bCs/>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24.77±0.97</w:t>
            </w:r>
            <w:r w:rsidRPr="00BB4B6E">
              <w:rPr>
                <w:bCs/>
                <w:vertAlign w:val="superscript"/>
              </w:rPr>
              <w:t>cB</w:t>
            </w:r>
          </w:p>
        </w:tc>
        <w:tc>
          <w:tcPr>
            <w:tcW w:w="159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6.35±0.79</w:t>
            </w:r>
            <w:r w:rsidRPr="00BB4B6E">
              <w:rPr>
                <w:bCs/>
                <w:vertAlign w:val="superscript"/>
              </w:rPr>
              <w:t>dA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rPr>
              <w:t xml:space="preserve">Bone nHA+ 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57.00±1.02</w:t>
            </w:r>
            <w:r w:rsidRPr="00BB4B6E">
              <w:rPr>
                <w:bCs/>
                <w:vertAlign w:val="superscript"/>
              </w:rPr>
              <w:t>aC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19.61±0.47</w:t>
            </w:r>
            <w:r w:rsidRPr="00BB4B6E">
              <w:rPr>
                <w:bCs/>
                <w:vertAlign w:val="superscript"/>
              </w:rPr>
              <w:t>aB</w:t>
            </w:r>
          </w:p>
        </w:tc>
        <w:tc>
          <w:tcPr>
            <w:tcW w:w="159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3.69±0.40</w:t>
            </w:r>
            <w:r w:rsidRPr="00BB4B6E">
              <w:rPr>
                <w:bCs/>
                <w:vertAlign w:val="superscript"/>
              </w:rPr>
              <w:t>aA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rPr>
              <w:t xml:space="preserve">Syn nHA+ 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63.21±1.23</w:t>
            </w:r>
            <w:r w:rsidRPr="00BB4B6E">
              <w:rPr>
                <w:bCs/>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21.44±0.57</w:t>
            </w:r>
            <w:r w:rsidRPr="00BB4B6E">
              <w:rPr>
                <w:bCs/>
                <w:vertAlign w:val="superscript"/>
              </w:rPr>
              <w:t>bB</w:t>
            </w:r>
          </w:p>
        </w:tc>
        <w:tc>
          <w:tcPr>
            <w:tcW w:w="159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7.93±0.42</w:t>
            </w:r>
            <w:r w:rsidRPr="00BB4B6E">
              <w:rPr>
                <w:bCs/>
                <w:vertAlign w:val="superscript"/>
              </w:rPr>
              <w:t>eA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rPr>
              <w:t xml:space="preserve">Bone nHA+DAP+NPK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57.90±0.31</w:t>
            </w:r>
            <w:r w:rsidRPr="00BB4B6E">
              <w:rPr>
                <w:bCs/>
                <w:vertAlign w:val="superscript"/>
              </w:rPr>
              <w:t>aC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19.26±0.16</w:t>
            </w:r>
            <w:r w:rsidRPr="00BB4B6E">
              <w:rPr>
                <w:bCs/>
                <w:vertAlign w:val="superscript"/>
              </w:rPr>
              <w:t>aB</w:t>
            </w:r>
          </w:p>
        </w:tc>
        <w:tc>
          <w:tcPr>
            <w:tcW w:w="159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3.94±0.23</w:t>
            </w:r>
            <w:r w:rsidRPr="00BB4B6E">
              <w:rPr>
                <w:bCs/>
                <w:vertAlign w:val="superscript"/>
              </w:rPr>
              <w:t>aA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Syn nHA+DAP+NPK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62.76±2.55</w:t>
            </w:r>
            <w:r w:rsidRPr="00BB4B6E">
              <w:rPr>
                <w:bCs/>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24.00±0.89</w:t>
            </w:r>
            <w:r w:rsidRPr="00BB4B6E">
              <w:rPr>
                <w:bCs/>
                <w:vertAlign w:val="superscript"/>
              </w:rPr>
              <w:t>cB</w:t>
            </w:r>
          </w:p>
        </w:tc>
        <w:tc>
          <w:tcPr>
            <w:tcW w:w="159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7.70±0.63</w:t>
            </w:r>
            <w:r w:rsidRPr="00BB4B6E">
              <w:rPr>
                <w:bCs/>
                <w:vertAlign w:val="superscript"/>
              </w:rPr>
              <w:t>dA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80.23±3.34</w:t>
            </w:r>
            <w:r w:rsidRPr="00BB4B6E">
              <w:rPr>
                <w:bCs/>
                <w:vertAlign w:val="superscript"/>
              </w:rPr>
              <w:t>eC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60.18±2.65</w:t>
            </w:r>
            <w:r w:rsidRPr="00BB4B6E">
              <w:rPr>
                <w:bCs/>
                <w:vertAlign w:val="superscript"/>
              </w:rPr>
              <w:t>fB</w:t>
            </w:r>
          </w:p>
        </w:tc>
        <w:tc>
          <w:tcPr>
            <w:tcW w:w="159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49.15±2.12</w:t>
            </w:r>
            <w:r w:rsidRPr="00BB4B6E">
              <w:rPr>
                <w:bCs/>
                <w:vertAlign w:val="superscript"/>
              </w:rPr>
              <w:t>gA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76.75±2.79</w:t>
            </w:r>
            <w:r w:rsidRPr="00BB4B6E">
              <w:rPr>
                <w:bCs/>
                <w:vertAlign w:val="superscript"/>
              </w:rPr>
              <w:t>dC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56.50±2.17</w:t>
            </w:r>
            <w:r w:rsidRPr="00BB4B6E">
              <w:rPr>
                <w:bCs/>
                <w:vertAlign w:val="superscript"/>
              </w:rPr>
              <w:t>eB</w:t>
            </w:r>
          </w:p>
        </w:tc>
        <w:tc>
          <w:tcPr>
            <w:tcW w:w="159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49.88±1.58</w:t>
            </w:r>
            <w:r w:rsidRPr="00BB4B6E">
              <w:rPr>
                <w:bCs/>
                <w:vertAlign w:val="superscript"/>
              </w:rPr>
              <w:t>gA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74.46±0.43</w:t>
            </w:r>
            <w:r w:rsidRPr="00BB4B6E">
              <w:rPr>
                <w:bCs/>
                <w:vertAlign w:val="superscript"/>
              </w:rPr>
              <w:t>dC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55.13±0.31</w:t>
            </w:r>
            <w:r w:rsidRPr="00BB4B6E">
              <w:rPr>
                <w:bCs/>
                <w:vertAlign w:val="superscript"/>
              </w:rPr>
              <w:t>eB</w:t>
            </w:r>
          </w:p>
        </w:tc>
        <w:tc>
          <w:tcPr>
            <w:tcW w:w="159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48.75±0.24</w:t>
            </w:r>
            <w:r w:rsidRPr="00BB4B6E">
              <w:rPr>
                <w:bCs/>
                <w:vertAlign w:val="superscript"/>
              </w:rPr>
              <w:t>gA</w:t>
            </w:r>
          </w:p>
        </w:tc>
        <w:tc>
          <w:tcPr>
            <w:tcW w:w="406"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rPr>
              <w:t xml:space="preserve">Non-treated control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67.20±2.87</w:t>
            </w:r>
            <w:r w:rsidRPr="00BB4B6E">
              <w:rPr>
                <w:bCs/>
                <w:vertAlign w:val="superscript"/>
              </w:rPr>
              <w:t>cC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48.22±2.26</w:t>
            </w:r>
            <w:r w:rsidRPr="00BB4B6E">
              <w:rPr>
                <w:bCs/>
                <w:vertAlign w:val="superscript"/>
              </w:rPr>
              <w:t>dB</w:t>
            </w:r>
          </w:p>
        </w:tc>
        <w:tc>
          <w:tcPr>
            <w:tcW w:w="159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37.93±1.64</w:t>
            </w:r>
            <w:r w:rsidRPr="00BB4B6E">
              <w:rPr>
                <w:bCs/>
                <w:vertAlign w:val="superscript"/>
              </w:rPr>
              <w:t>fA</w:t>
            </w:r>
          </w:p>
        </w:tc>
        <w:tc>
          <w:tcPr>
            <w:tcW w:w="406"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70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center"/>
              <w:rPr>
                <w:color w:val="000000" w:themeColor="text1"/>
              </w:rPr>
            </w:pPr>
          </w:p>
        </w:tc>
        <w:tc>
          <w:tcPr>
            <w:tcW w:w="180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2096"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000000" w:themeColor="text1"/>
                <w:sz w:val="24"/>
                <w:szCs w:val="24"/>
              </w:rPr>
            </w:pPr>
            <w:r w:rsidRPr="00BB4B6E">
              <w:rPr>
                <w:b w:val="0"/>
                <w:color w:val="000000" w:themeColor="text1"/>
                <w:sz w:val="24"/>
                <w:szCs w:val="24"/>
              </w:rPr>
              <w:t>P-value˂0.01</w:t>
            </w:r>
          </w:p>
        </w:tc>
        <w:tc>
          <w:tcPr>
            <w:tcW w:w="1594"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p>
        </w:tc>
        <w:tc>
          <w:tcPr>
            <w:tcW w:w="406"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934C1">
      <w:pPr>
        <w:spacing w:line="240" w:lineRule="auto"/>
        <w:rPr>
          <w:color w:val="000000" w:themeColor="text1"/>
          <w:lang w:eastAsia="sw-KE"/>
        </w:rPr>
      </w:pPr>
      <w:r w:rsidRPr="00BB4B6E">
        <w:rPr>
          <w:color w:val="000000" w:themeColor="text1"/>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rPr>
          <w:color w:val="000000" w:themeColor="text1"/>
        </w:rPr>
      </w:pPr>
    </w:p>
    <w:p w:rsidR="00F934C1" w:rsidRPr="00BB4B6E" w:rsidRDefault="00F934C1" w:rsidP="00F934C1">
      <w:pPr>
        <w:rPr>
          <w:color w:val="000000" w:themeColor="text1"/>
        </w:rPr>
      </w:pPr>
    </w:p>
    <w:p w:rsidR="00F934C1" w:rsidRPr="00BB4B6E" w:rsidRDefault="00F934C1" w:rsidP="00F934C1">
      <w:pPr>
        <w:rPr>
          <w:color w:val="000000" w:themeColor="text1"/>
        </w:rPr>
      </w:pPr>
    </w:p>
    <w:p w:rsidR="00F934C1" w:rsidRPr="00BB4B6E" w:rsidRDefault="00F934C1" w:rsidP="00F934C1">
      <w:pPr>
        <w:autoSpaceDE/>
        <w:autoSpaceDN/>
        <w:adjustRightInd/>
        <w:spacing w:after="200" w:line="276" w:lineRule="auto"/>
        <w:jc w:val="left"/>
        <w:rPr>
          <w:b/>
          <w:bCs/>
        </w:rPr>
      </w:pPr>
      <w:r w:rsidRPr="00BB4B6E">
        <w:br w:type="page"/>
      </w:r>
    </w:p>
    <w:p w:rsidR="00F934C1" w:rsidRPr="00BB4B6E" w:rsidRDefault="00F934C1" w:rsidP="00F934C1">
      <w:pPr>
        <w:pStyle w:val="Heading4"/>
        <w:rPr>
          <w:lang w:eastAsia="sw-KE"/>
        </w:rPr>
      </w:pPr>
      <w:bookmarkStart w:id="196" w:name="_Toc112877971"/>
      <w:bookmarkStart w:id="197" w:name="_Toc112880602"/>
      <w:bookmarkStart w:id="198" w:name="_Toc120047573"/>
      <w:bookmarkStart w:id="199" w:name="_Toc144222336"/>
      <w:r w:rsidRPr="00BB4B6E">
        <w:lastRenderedPageBreak/>
        <w:t>Table 4.</w:t>
      </w:r>
      <w:r>
        <w:t>5</w:t>
      </w:r>
      <w:r w:rsidRPr="00BB4B6E">
        <w:t>:</w:t>
      </w:r>
      <w:r w:rsidRPr="00BB4B6E">
        <w:rPr>
          <w:lang w:eastAsia="sw-KE"/>
        </w:rPr>
        <w:t xml:space="preserve"> L</w:t>
      </w:r>
      <w:r>
        <w:rPr>
          <w:lang w:eastAsia="sw-KE"/>
        </w:rPr>
        <w:t>evels of c</w:t>
      </w:r>
      <w:r w:rsidRPr="00BB4B6E">
        <w:rPr>
          <w:lang w:eastAsia="sw-KE"/>
        </w:rPr>
        <w:t>admium in bean leaves grown using nano-fertilizers at 30, 60 and 90 day</w:t>
      </w:r>
      <w:bookmarkEnd w:id="196"/>
      <w:bookmarkEnd w:id="197"/>
      <w:bookmarkEnd w:id="198"/>
      <w:bookmarkEnd w:id="199"/>
    </w:p>
    <w:tbl>
      <w:tblPr>
        <w:tblW w:w="8326" w:type="dxa"/>
        <w:tblInd w:w="58" w:type="dxa"/>
        <w:tblCellMar>
          <w:left w:w="0" w:type="dxa"/>
          <w:right w:w="0" w:type="dxa"/>
        </w:tblCellMar>
        <w:tblLook w:val="04A0" w:firstRow="1" w:lastRow="0" w:firstColumn="1" w:lastColumn="0" w:noHBand="0" w:noVBand="1"/>
      </w:tblPr>
      <w:tblGrid>
        <w:gridCol w:w="2610"/>
        <w:gridCol w:w="1800"/>
        <w:gridCol w:w="1800"/>
        <w:gridCol w:w="1710"/>
        <w:gridCol w:w="406"/>
      </w:tblGrid>
      <w:tr w:rsidR="00F934C1" w:rsidRPr="00BB4B6E" w:rsidTr="00F934C1">
        <w:trPr>
          <w:trHeight w:val="800"/>
        </w:trPr>
        <w:tc>
          <w:tcPr>
            <w:tcW w:w="261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531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b/>
                <w:bCs/>
                <w:color w:val="000000" w:themeColor="text1"/>
                <w:kern w:val="24"/>
              </w:rPr>
            </w:pPr>
            <w:r w:rsidRPr="00BB4B6E">
              <w:rPr>
                <w:b/>
                <w:bCs/>
                <w:color w:val="000000" w:themeColor="text1"/>
                <w:kern w:val="24"/>
              </w:rPr>
              <w:t>[Cd]</w:t>
            </w:r>
          </w:p>
          <w:p w:rsidR="00F934C1" w:rsidRPr="00BB4B6E" w:rsidRDefault="00F934C1" w:rsidP="00F934C1">
            <w:pPr>
              <w:autoSpaceDE/>
              <w:autoSpaceDN/>
              <w:adjustRightInd/>
              <w:spacing w:line="240" w:lineRule="auto"/>
              <w:jc w:val="center"/>
              <w:rPr>
                <w:color w:val="000000" w:themeColor="text1"/>
              </w:rPr>
            </w:pPr>
            <w:r w:rsidRPr="00BB4B6E">
              <w:rPr>
                <w:b/>
                <w:color w:val="000000"/>
              </w:rPr>
              <w:t>Mean ± SD</w:t>
            </w:r>
            <w:r w:rsidRPr="00BB4B6E">
              <w:rPr>
                <w:b/>
                <w:bCs/>
                <w:color w:val="000000" w:themeColor="text1"/>
                <w:kern w:val="24"/>
              </w:rPr>
              <w:t>(µgg</w:t>
            </w:r>
            <w:r w:rsidRPr="00BB4B6E">
              <w:rPr>
                <w:b/>
                <w:bCs/>
                <w:color w:val="000000" w:themeColor="text1"/>
                <w:kern w:val="24"/>
                <w:position w:val="7"/>
                <w:vertAlign w:val="superscript"/>
              </w:rPr>
              <w:t>-1</w:t>
            </w:r>
            <w:r w:rsidRPr="00BB4B6E">
              <w:rPr>
                <w:b/>
                <w:bCs/>
                <w:color w:val="000000" w:themeColor="text1"/>
                <w:kern w:val="24"/>
              </w:rPr>
              <w:t xml:space="preserve">) </w:t>
            </w:r>
          </w:p>
          <w:p w:rsidR="00F934C1" w:rsidRPr="00BB4B6E" w:rsidRDefault="00F934C1" w:rsidP="00F934C1">
            <w:pPr>
              <w:autoSpaceDE/>
              <w:autoSpaceDN/>
              <w:adjustRightInd/>
              <w:spacing w:line="276" w:lineRule="auto"/>
              <w:ind w:left="187"/>
              <w:jc w:val="center"/>
            </w:pPr>
            <w:r w:rsidRPr="00BB4B6E">
              <w:rPr>
                <w:b/>
                <w:bCs/>
                <w:color w:val="000000" w:themeColor="text1"/>
                <w:kern w:val="24"/>
              </w:rPr>
              <w:t>n=9</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61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80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30 days</w:t>
            </w:r>
          </w:p>
        </w:tc>
        <w:tc>
          <w:tcPr>
            <w:tcW w:w="180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60 days</w:t>
            </w:r>
          </w:p>
        </w:tc>
        <w:tc>
          <w:tcPr>
            <w:tcW w:w="171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90 days</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61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Bone nHA </w:t>
            </w:r>
          </w:p>
        </w:tc>
        <w:tc>
          <w:tcPr>
            <w:tcW w:w="18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33.70±4.50</w:t>
            </w:r>
            <w:r w:rsidRPr="00BB4B6E">
              <w:rPr>
                <w:bCs/>
                <w:color w:val="000000" w:themeColor="text1"/>
                <w:vertAlign w:val="superscript"/>
              </w:rPr>
              <w:t>aC</w:t>
            </w:r>
          </w:p>
        </w:tc>
        <w:tc>
          <w:tcPr>
            <w:tcW w:w="18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6.47±3.00</w:t>
            </w:r>
            <w:r w:rsidRPr="00BB4B6E">
              <w:rPr>
                <w:bCs/>
                <w:color w:val="000000" w:themeColor="text1"/>
                <w:vertAlign w:val="superscript"/>
              </w:rPr>
              <w:t>aB</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2.20±2.22</w:t>
            </w:r>
            <w:r w:rsidRPr="00BB4B6E">
              <w:rPr>
                <w:bCs/>
                <w:color w:val="000000" w:themeColor="text1"/>
                <w:vertAlign w:val="superscript"/>
              </w:rPr>
              <w:t>aA</w:t>
            </w:r>
          </w:p>
        </w:tc>
        <w:tc>
          <w:tcPr>
            <w:tcW w:w="406"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color w:val="000000" w:themeColor="text1"/>
              </w:rPr>
              <w:t xml:space="preserve">Syn nHA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color w:val="000000" w:themeColor="text1"/>
              </w:rPr>
              <w:t>36.44±2.55</w:t>
            </w:r>
            <w:r w:rsidRPr="00BB4B6E">
              <w:rPr>
                <w:bCs/>
                <w:color w:val="000000" w:themeColor="text1"/>
                <w:vertAlign w:val="superscript"/>
              </w:rPr>
              <w:t>bC</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color w:val="000000" w:themeColor="text1"/>
              </w:rPr>
              <w:t>9.90±1.59</w:t>
            </w:r>
            <w:r w:rsidRPr="00BB4B6E">
              <w:rPr>
                <w:bCs/>
                <w:color w:val="000000" w:themeColor="text1"/>
                <w:vertAlign w:val="superscript"/>
              </w:rPr>
              <w:t>bB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color w:val="000000" w:themeColor="text1"/>
              </w:rPr>
              <w:t>2.91±1.16</w:t>
            </w:r>
            <w:r w:rsidRPr="00BB4B6E">
              <w:rPr>
                <w:bCs/>
                <w:color w:val="000000" w:themeColor="text1"/>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Bone nHA +DAP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35.52±2.48</w:t>
            </w:r>
            <w:r w:rsidRPr="00BB4B6E">
              <w:rPr>
                <w:bCs/>
                <w:color w:val="000000" w:themeColor="text1"/>
                <w:vertAlign w:val="superscript"/>
              </w:rPr>
              <w:t>aC</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9.95±1.71</w:t>
            </w:r>
            <w:r w:rsidRPr="00BB4B6E">
              <w:rPr>
                <w:bCs/>
                <w:color w:val="000000" w:themeColor="text1"/>
                <w:vertAlign w:val="superscript"/>
              </w:rPr>
              <w:t>bB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3.85±1.28</w:t>
            </w:r>
            <w:r w:rsidRPr="00BB4B6E">
              <w:rPr>
                <w:bCs/>
                <w:color w:val="000000" w:themeColor="text1"/>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Syn nHA +DAP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38.65±0.88</w:t>
            </w:r>
            <w:r w:rsidRPr="00BB4B6E">
              <w:rPr>
                <w:bCs/>
                <w:color w:val="000000" w:themeColor="text1"/>
                <w:vertAlign w:val="superscript"/>
              </w:rPr>
              <w:t>bC</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12.10±0.59</w:t>
            </w:r>
            <w:r w:rsidRPr="00BB4B6E">
              <w:rPr>
                <w:bCs/>
                <w:color w:val="000000" w:themeColor="text1"/>
                <w:vertAlign w:val="superscript"/>
              </w:rPr>
              <w:t>cB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5.32±0.41</w:t>
            </w:r>
            <w:r w:rsidRPr="00BB4B6E">
              <w:rPr>
                <w:bCs/>
                <w:color w:val="000000" w:themeColor="text1"/>
                <w:vertAlign w:val="superscript"/>
              </w:rPr>
              <w:t>dA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Bone nHA+ 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34.57±1.92</w:t>
            </w:r>
            <w:r w:rsidRPr="00BB4B6E">
              <w:rPr>
                <w:bCs/>
                <w:color w:val="000000" w:themeColor="text1"/>
                <w:vertAlign w:val="superscript"/>
              </w:rPr>
              <w:t>aC</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10.23±1.35</w:t>
            </w:r>
            <w:r w:rsidRPr="00BB4B6E">
              <w:rPr>
                <w:bCs/>
                <w:color w:val="000000" w:themeColor="text1"/>
                <w:vertAlign w:val="superscript"/>
              </w:rPr>
              <w:t>bB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4.22±1.02</w:t>
            </w:r>
            <w:r w:rsidRPr="00BB4B6E">
              <w:rPr>
                <w:bCs/>
                <w:color w:val="000000" w:themeColor="text1"/>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Syn nHA+ 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38.97±0.82</w:t>
            </w:r>
            <w:r w:rsidRPr="00BB4B6E">
              <w:rPr>
                <w:bCs/>
                <w:color w:val="000000" w:themeColor="text1"/>
                <w:vertAlign w:val="superscript"/>
              </w:rPr>
              <w:t>bC</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9.09±0.55</w:t>
            </w:r>
            <w:r w:rsidRPr="00BB4B6E">
              <w:rPr>
                <w:bCs/>
                <w:color w:val="000000" w:themeColor="text1"/>
                <w:vertAlign w:val="superscript"/>
              </w:rPr>
              <w:t>bB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6.92±0.40</w:t>
            </w:r>
            <w:r w:rsidRPr="00BB4B6E">
              <w:rPr>
                <w:bCs/>
                <w:color w:val="000000" w:themeColor="text1"/>
                <w:vertAlign w:val="superscript"/>
              </w:rPr>
              <w:t>eA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color w:val="000000" w:themeColor="text1"/>
              </w:rPr>
              <w:t xml:space="preserve">Bone nHA+DAP+NPK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color w:val="000000" w:themeColor="text1"/>
              </w:rPr>
              <w:t>33.05±4.83</w:t>
            </w:r>
            <w:r w:rsidRPr="00BB4B6E">
              <w:rPr>
                <w:bCs/>
                <w:color w:val="000000" w:themeColor="text1"/>
                <w:vertAlign w:val="superscript"/>
              </w:rPr>
              <w:t>aC</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color w:val="000000" w:themeColor="text1"/>
              </w:rPr>
              <w:t>7.48±3.33</w:t>
            </w:r>
            <w:r w:rsidRPr="00BB4B6E">
              <w:rPr>
                <w:bCs/>
                <w:color w:val="000000" w:themeColor="text1"/>
                <w:vertAlign w:val="superscript"/>
              </w:rPr>
              <w:t>aB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color w:val="000000" w:themeColor="text1"/>
              </w:rPr>
              <w:t>4.21±2.47</w:t>
            </w:r>
            <w:r w:rsidRPr="00BB4B6E">
              <w:rPr>
                <w:bCs/>
                <w:color w:val="000000" w:themeColor="text1"/>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Syn nHA+DAP+NPK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37.94±1.71</w:t>
            </w:r>
            <w:r w:rsidRPr="00BB4B6E">
              <w:rPr>
                <w:bCs/>
                <w:color w:val="000000" w:themeColor="text1"/>
                <w:vertAlign w:val="superscript"/>
              </w:rPr>
              <w:t>bC</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10.37±1.12</w:t>
            </w:r>
            <w:r w:rsidRPr="00BB4B6E">
              <w:rPr>
                <w:bCs/>
                <w:color w:val="000000" w:themeColor="text1"/>
                <w:vertAlign w:val="superscript"/>
              </w:rPr>
              <w:t>bB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5.81±1.16</w:t>
            </w:r>
            <w:r w:rsidRPr="00BB4B6E">
              <w:rPr>
                <w:bCs/>
                <w:color w:val="000000" w:themeColor="text1"/>
                <w:vertAlign w:val="superscript"/>
              </w:rPr>
              <w:t>dA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50.84±3.02</w:t>
            </w:r>
            <w:r w:rsidRPr="00BB4B6E">
              <w:rPr>
                <w:bCs/>
                <w:color w:val="000000" w:themeColor="text1"/>
                <w:vertAlign w:val="superscript"/>
              </w:rPr>
              <w:t>dC</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39.03±2.52</w:t>
            </w:r>
            <w:r w:rsidRPr="00BB4B6E">
              <w:rPr>
                <w:bCs/>
                <w:color w:val="000000" w:themeColor="text1"/>
                <w:vertAlign w:val="superscript"/>
              </w:rPr>
              <w:t>fB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32.38±1.89</w:t>
            </w:r>
            <w:r w:rsidRPr="00BB4B6E">
              <w:rPr>
                <w:bCs/>
                <w:color w:val="000000" w:themeColor="text1"/>
                <w:vertAlign w:val="superscript"/>
              </w:rPr>
              <w:t>hA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51.69±4.35</w:t>
            </w:r>
            <w:r w:rsidRPr="00BB4B6E">
              <w:rPr>
                <w:bCs/>
                <w:color w:val="000000" w:themeColor="text1"/>
                <w:vertAlign w:val="superscript"/>
              </w:rPr>
              <w:t>dC</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33.64±3.79</w:t>
            </w:r>
            <w:r w:rsidRPr="00BB4B6E">
              <w:rPr>
                <w:bCs/>
                <w:color w:val="000000" w:themeColor="text1"/>
                <w:vertAlign w:val="superscript"/>
              </w:rPr>
              <w:t>fe</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28.64±2.87</w:t>
            </w:r>
            <w:r w:rsidRPr="00BB4B6E">
              <w:rPr>
                <w:bCs/>
                <w:color w:val="000000" w:themeColor="text1"/>
                <w:vertAlign w:val="superscript"/>
              </w:rPr>
              <w:t>gA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50.74±1.23</w:t>
            </w:r>
            <w:r w:rsidRPr="00BB4B6E">
              <w:rPr>
                <w:bCs/>
                <w:color w:val="000000" w:themeColor="text1"/>
                <w:vertAlign w:val="superscript"/>
              </w:rPr>
              <w:t>dC</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34.41±0.95</w:t>
            </w:r>
            <w:r w:rsidRPr="00BB4B6E">
              <w:rPr>
                <w:bCs/>
                <w:color w:val="000000" w:themeColor="text1"/>
                <w:vertAlign w:val="superscript"/>
              </w:rPr>
              <w:t>fe</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29.54±0.72</w:t>
            </w:r>
            <w:r w:rsidRPr="00BB4B6E">
              <w:rPr>
                <w:bCs/>
                <w:color w:val="000000" w:themeColor="text1"/>
                <w:vertAlign w:val="superscript"/>
              </w:rPr>
              <w:t>gA</w:t>
            </w:r>
          </w:p>
        </w:tc>
        <w:tc>
          <w:tcPr>
            <w:tcW w:w="406"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Non-treated control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45.75±2.95</w:t>
            </w:r>
            <w:r w:rsidRPr="00BB4B6E">
              <w:rPr>
                <w:bCs/>
                <w:color w:val="000000" w:themeColor="text1"/>
                <w:vertAlign w:val="superscript"/>
              </w:rPr>
              <w:t>cC</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28.27±2.27</w:t>
            </w:r>
            <w:r w:rsidRPr="00BB4B6E">
              <w:rPr>
                <w:bCs/>
                <w:color w:val="000000" w:themeColor="text1"/>
                <w:vertAlign w:val="superscript"/>
              </w:rPr>
              <w:t>dB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22.82±1.74</w:t>
            </w:r>
            <w:r w:rsidRPr="00BB4B6E">
              <w:rPr>
                <w:bCs/>
                <w:color w:val="000000" w:themeColor="text1"/>
                <w:vertAlign w:val="superscript"/>
              </w:rPr>
              <w:t>fA</w:t>
            </w:r>
          </w:p>
        </w:tc>
        <w:tc>
          <w:tcPr>
            <w:tcW w:w="406"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61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color w:val="000000" w:themeColor="text1"/>
              </w:rPr>
            </w:pPr>
            <w:r w:rsidRPr="00BB4B6E">
              <w:t>P-value˂0.01</w:t>
            </w:r>
          </w:p>
        </w:tc>
        <w:tc>
          <w:tcPr>
            <w:tcW w:w="180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800"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p>
        </w:tc>
        <w:tc>
          <w:tcPr>
            <w:tcW w:w="1710"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p>
        </w:tc>
        <w:tc>
          <w:tcPr>
            <w:tcW w:w="406"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934C1">
      <w:pPr>
        <w:spacing w:line="240" w:lineRule="auto"/>
        <w:rPr>
          <w:color w:val="000000" w:themeColor="text1"/>
          <w:lang w:eastAsia="sw-KE"/>
        </w:rPr>
      </w:pPr>
      <w:r w:rsidRPr="00BB4B6E">
        <w:rPr>
          <w:color w:val="000000" w:themeColor="text1"/>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spacing w:line="240" w:lineRule="auto"/>
        <w:rPr>
          <w:color w:val="000000" w:themeColor="text1"/>
          <w:lang w:eastAsia="sw-KE"/>
        </w:rPr>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Default="00F934C1" w:rsidP="00F934C1">
      <w:pPr>
        <w:pStyle w:val="Caption"/>
        <w:rPr>
          <w:color w:val="auto"/>
          <w:sz w:val="24"/>
          <w:szCs w:val="24"/>
        </w:rPr>
      </w:pPr>
    </w:p>
    <w:p w:rsidR="00F934C1" w:rsidRPr="004B5035" w:rsidRDefault="00F934C1" w:rsidP="00F934C1"/>
    <w:p w:rsidR="00F934C1" w:rsidRPr="00BB4B6E" w:rsidRDefault="00F934C1" w:rsidP="00F934C1">
      <w:pPr>
        <w:pStyle w:val="Caption"/>
        <w:rPr>
          <w:color w:val="auto"/>
          <w:sz w:val="24"/>
          <w:szCs w:val="24"/>
        </w:rPr>
      </w:pPr>
    </w:p>
    <w:p w:rsidR="00F934C1" w:rsidRPr="00BB4B6E" w:rsidRDefault="00F934C1" w:rsidP="00F934C1">
      <w:pPr>
        <w:pStyle w:val="Heading4"/>
        <w:rPr>
          <w:lang w:eastAsia="sw-KE"/>
        </w:rPr>
      </w:pPr>
      <w:bookmarkStart w:id="200" w:name="_Toc144222337"/>
      <w:r w:rsidRPr="00BB4B6E">
        <w:lastRenderedPageBreak/>
        <w:t>Table 4.6:</w:t>
      </w:r>
      <w:r>
        <w:rPr>
          <w:lang w:eastAsia="sw-KE"/>
        </w:rPr>
        <w:t xml:space="preserve"> Comparison of c</w:t>
      </w:r>
      <w:r w:rsidRPr="00BB4B6E">
        <w:rPr>
          <w:lang w:eastAsia="sw-KE"/>
        </w:rPr>
        <w:t>admium uptake in bean, kale and spinach leaves grown using nano-fertilizers at 90</w:t>
      </w:r>
      <w:r w:rsidRPr="00BB4B6E">
        <w:rPr>
          <w:vertAlign w:val="superscript"/>
          <w:lang w:eastAsia="sw-KE"/>
        </w:rPr>
        <w:t>th</w:t>
      </w:r>
      <w:r w:rsidRPr="00BB4B6E">
        <w:rPr>
          <w:lang w:eastAsia="sw-KE"/>
        </w:rPr>
        <w:t xml:space="preserve"> day</w:t>
      </w:r>
      <w:bookmarkEnd w:id="200"/>
    </w:p>
    <w:tbl>
      <w:tblPr>
        <w:tblW w:w="8506" w:type="dxa"/>
        <w:tblInd w:w="58" w:type="dxa"/>
        <w:tblCellMar>
          <w:left w:w="0" w:type="dxa"/>
          <w:right w:w="0" w:type="dxa"/>
        </w:tblCellMar>
        <w:tblLook w:val="04A0" w:firstRow="1" w:lastRow="0" w:firstColumn="1" w:lastColumn="0" w:noHBand="0" w:noVBand="1"/>
      </w:tblPr>
      <w:tblGrid>
        <w:gridCol w:w="2700"/>
        <w:gridCol w:w="2095"/>
        <w:gridCol w:w="1685"/>
        <w:gridCol w:w="1620"/>
        <w:gridCol w:w="406"/>
      </w:tblGrid>
      <w:tr w:rsidR="00F934C1" w:rsidRPr="00BB4B6E" w:rsidTr="00F934C1">
        <w:trPr>
          <w:trHeight w:val="800"/>
        </w:trPr>
        <w:tc>
          <w:tcPr>
            <w:tcW w:w="270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540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b/>
                <w:bCs/>
                <w:color w:val="000000" w:themeColor="text1"/>
                <w:kern w:val="24"/>
              </w:rPr>
            </w:pPr>
            <w:r w:rsidRPr="00BB4B6E">
              <w:rPr>
                <w:b/>
                <w:bCs/>
                <w:color w:val="000000" w:themeColor="text1"/>
                <w:kern w:val="24"/>
              </w:rPr>
              <w:t>[Cd]</w:t>
            </w:r>
          </w:p>
          <w:p w:rsidR="00F934C1" w:rsidRPr="00BB4B6E" w:rsidRDefault="00F934C1" w:rsidP="00F934C1">
            <w:pPr>
              <w:autoSpaceDE/>
              <w:autoSpaceDN/>
              <w:adjustRightInd/>
              <w:spacing w:line="240" w:lineRule="auto"/>
              <w:jc w:val="center"/>
              <w:rPr>
                <w:color w:val="000000" w:themeColor="text1"/>
              </w:rPr>
            </w:pPr>
            <w:r w:rsidRPr="00BB4B6E">
              <w:rPr>
                <w:b/>
                <w:color w:val="000000"/>
              </w:rPr>
              <w:t>Mean ± SD</w:t>
            </w:r>
            <w:r w:rsidRPr="00BB4B6E">
              <w:rPr>
                <w:b/>
                <w:bCs/>
                <w:color w:val="000000" w:themeColor="text1"/>
                <w:kern w:val="24"/>
              </w:rPr>
              <w:t>(µgg</w:t>
            </w:r>
            <w:r w:rsidRPr="00BB4B6E">
              <w:rPr>
                <w:b/>
                <w:bCs/>
                <w:color w:val="000000" w:themeColor="text1"/>
                <w:kern w:val="24"/>
                <w:position w:val="7"/>
                <w:vertAlign w:val="superscript"/>
              </w:rPr>
              <w:t>-1</w:t>
            </w:r>
            <w:r w:rsidRPr="00BB4B6E">
              <w:rPr>
                <w:b/>
                <w:bCs/>
                <w:color w:val="000000" w:themeColor="text1"/>
                <w:kern w:val="24"/>
              </w:rPr>
              <w:t xml:space="preserve">) </w:t>
            </w:r>
          </w:p>
          <w:p w:rsidR="00F934C1" w:rsidRPr="00BB4B6E" w:rsidRDefault="00F934C1" w:rsidP="00F934C1">
            <w:pPr>
              <w:autoSpaceDE/>
              <w:autoSpaceDN/>
              <w:adjustRightInd/>
              <w:spacing w:line="276" w:lineRule="auto"/>
              <w:ind w:left="187"/>
              <w:jc w:val="center"/>
            </w:pPr>
            <w:r w:rsidRPr="00BB4B6E">
              <w:rPr>
                <w:b/>
                <w:bCs/>
                <w:color w:val="000000" w:themeColor="text1"/>
                <w:kern w:val="24"/>
              </w:rPr>
              <w:t>n=9</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70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2095"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Bean</w:t>
            </w:r>
          </w:p>
        </w:tc>
        <w:tc>
          <w:tcPr>
            <w:tcW w:w="1685"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Kale</w:t>
            </w:r>
          </w:p>
        </w:tc>
        <w:tc>
          <w:tcPr>
            <w:tcW w:w="162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Spinach</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70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Bone nHA </w:t>
            </w:r>
          </w:p>
        </w:tc>
        <w:tc>
          <w:tcPr>
            <w:tcW w:w="2095"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2.20±2.22</w:t>
            </w:r>
            <w:r w:rsidRPr="00BB4B6E">
              <w:rPr>
                <w:bCs/>
                <w:color w:val="000000" w:themeColor="text1"/>
                <w:vertAlign w:val="superscript"/>
              </w:rPr>
              <w:t>aA</w:t>
            </w:r>
          </w:p>
        </w:tc>
        <w:tc>
          <w:tcPr>
            <w:tcW w:w="1685"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2.94±0.29</w:t>
            </w:r>
            <w:r w:rsidRPr="00BB4B6E">
              <w:rPr>
                <w:bCs/>
                <w:vertAlign w:val="superscript"/>
              </w:rPr>
              <w:t>aA</w:t>
            </w:r>
          </w:p>
        </w:tc>
        <w:tc>
          <w:tcPr>
            <w:tcW w:w="162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3.56±0.93</w:t>
            </w:r>
            <w:r w:rsidRPr="00BB4B6E">
              <w:rPr>
                <w:bCs/>
                <w:vertAlign w:val="superscript"/>
              </w:rPr>
              <w:t>ab</w:t>
            </w:r>
          </w:p>
        </w:tc>
        <w:tc>
          <w:tcPr>
            <w:tcW w:w="406"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color w:val="000000" w:themeColor="text1"/>
              </w:rPr>
              <w:t xml:space="preserve">Syn nHA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color w:val="000000" w:themeColor="text1"/>
              </w:rPr>
              <w:t>2.91±1.16</w:t>
            </w:r>
            <w:r w:rsidRPr="00BB4B6E">
              <w:rPr>
                <w:bCs/>
                <w:color w:val="000000" w:themeColor="text1"/>
                <w:vertAlign w:val="superscript"/>
              </w:rPr>
              <w:t>bA</w:t>
            </w:r>
          </w:p>
        </w:tc>
        <w:tc>
          <w:tcPr>
            <w:tcW w:w="168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3.91±1.92</w:t>
            </w:r>
            <w:r w:rsidRPr="00BB4B6E">
              <w:rPr>
                <w:bCs/>
                <w:vertAlign w:val="superscript"/>
              </w:rPr>
              <w:t>bB</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5.88±0.91</w:t>
            </w:r>
            <w:r w:rsidRPr="00BB4B6E">
              <w:rPr>
                <w:bCs/>
                <w:vertAlign w:val="superscript"/>
              </w:rPr>
              <w:t>cC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Bone nHA +DAP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3.85±1.28</w:t>
            </w:r>
            <w:r w:rsidRPr="00BB4B6E">
              <w:rPr>
                <w:bCs/>
                <w:color w:val="000000" w:themeColor="text1"/>
                <w:vertAlign w:val="superscript"/>
              </w:rPr>
              <w:t>cA</w:t>
            </w:r>
          </w:p>
        </w:tc>
        <w:tc>
          <w:tcPr>
            <w:tcW w:w="168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3.29±0.72</w:t>
            </w:r>
            <w:r w:rsidRPr="00BB4B6E">
              <w:rPr>
                <w:bCs/>
                <w:vertAlign w:val="superscript"/>
              </w:rPr>
              <w:t>bA</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4.35±0.38</w:t>
            </w:r>
            <w:r w:rsidRPr="00BB4B6E">
              <w:rPr>
                <w:bCs/>
                <w:vertAlign w:val="superscript"/>
              </w:rPr>
              <w:t>bB</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Syn nHA +DAP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5.32±0.41</w:t>
            </w:r>
            <w:r w:rsidRPr="00BB4B6E">
              <w:rPr>
                <w:bCs/>
                <w:color w:val="000000" w:themeColor="text1"/>
                <w:vertAlign w:val="superscript"/>
              </w:rPr>
              <w:t>dA</w:t>
            </w:r>
          </w:p>
        </w:tc>
        <w:tc>
          <w:tcPr>
            <w:tcW w:w="168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5.16±1.64</w:t>
            </w:r>
            <w:r w:rsidRPr="00BB4B6E">
              <w:rPr>
                <w:bCs/>
                <w:vertAlign w:val="superscript"/>
              </w:rPr>
              <w:t>cA</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6.35±0.79</w:t>
            </w:r>
            <w:r w:rsidRPr="00BB4B6E">
              <w:rPr>
                <w:bCs/>
                <w:vertAlign w:val="superscript"/>
              </w:rPr>
              <w:t>dB</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Bone nHA+ 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4.22±1.02</w:t>
            </w:r>
            <w:r w:rsidRPr="00BB4B6E">
              <w:rPr>
                <w:bCs/>
                <w:color w:val="000000" w:themeColor="text1"/>
                <w:vertAlign w:val="superscript"/>
              </w:rPr>
              <w:t>cA</w:t>
            </w:r>
          </w:p>
        </w:tc>
        <w:tc>
          <w:tcPr>
            <w:tcW w:w="168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6.18±1.13</w:t>
            </w:r>
            <w:r w:rsidRPr="00BB4B6E">
              <w:rPr>
                <w:bCs/>
                <w:vertAlign w:val="superscript"/>
              </w:rPr>
              <w:t>dB</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3.69±0.40</w:t>
            </w:r>
            <w:r w:rsidRPr="00BB4B6E">
              <w:rPr>
                <w:bCs/>
                <w:vertAlign w:val="superscript"/>
              </w:rPr>
              <w:t>Aa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Syn nHA+ 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color w:val="000000" w:themeColor="text1"/>
              </w:rPr>
              <w:t>6.92±0.40</w:t>
            </w:r>
            <w:r w:rsidRPr="00BB4B6E">
              <w:rPr>
                <w:bCs/>
                <w:color w:val="000000" w:themeColor="text1"/>
                <w:vertAlign w:val="superscript"/>
              </w:rPr>
              <w:t>eA</w:t>
            </w:r>
          </w:p>
        </w:tc>
        <w:tc>
          <w:tcPr>
            <w:tcW w:w="168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7.42±0.30</w:t>
            </w:r>
            <w:r w:rsidRPr="00BB4B6E">
              <w:rPr>
                <w:bCs/>
                <w:vertAlign w:val="superscript"/>
              </w:rPr>
              <w:t>eA</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bCs/>
              </w:rPr>
              <w:t>7.93±0.42</w:t>
            </w:r>
            <w:r w:rsidRPr="00BB4B6E">
              <w:rPr>
                <w:bCs/>
                <w:vertAlign w:val="superscript"/>
              </w:rPr>
              <w:t>eA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color w:val="000000" w:themeColor="text1"/>
              </w:rPr>
              <w:t xml:space="preserve">Bone nHA+DAP+NPK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color w:val="000000" w:themeColor="text1"/>
              </w:rPr>
              <w:t>4.21±2.47</w:t>
            </w:r>
            <w:r w:rsidRPr="00BB4B6E">
              <w:rPr>
                <w:bCs/>
                <w:color w:val="000000" w:themeColor="text1"/>
                <w:vertAlign w:val="superscript"/>
              </w:rPr>
              <w:t>cA</w:t>
            </w:r>
          </w:p>
        </w:tc>
        <w:tc>
          <w:tcPr>
            <w:tcW w:w="1685"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4.61±1.62</w:t>
            </w:r>
            <w:r w:rsidRPr="00BB4B6E">
              <w:rPr>
                <w:bCs/>
                <w:vertAlign w:val="superscript"/>
              </w:rPr>
              <w:t>cA</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bCs/>
              </w:rPr>
              <w:t>3.94±0.23</w:t>
            </w:r>
            <w:r w:rsidRPr="00BB4B6E">
              <w:rPr>
                <w:bCs/>
                <w:vertAlign w:val="superscript"/>
              </w:rPr>
              <w:t>aA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Syn nHA+DAP+NPK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5.81±1.16</w:t>
            </w:r>
            <w:r w:rsidRPr="00BB4B6E">
              <w:rPr>
                <w:bCs/>
                <w:color w:val="000000" w:themeColor="text1"/>
                <w:vertAlign w:val="superscript"/>
              </w:rPr>
              <w:t>dA</w:t>
            </w:r>
          </w:p>
        </w:tc>
        <w:tc>
          <w:tcPr>
            <w:tcW w:w="168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4.57±3.58</w:t>
            </w:r>
            <w:r w:rsidRPr="00BB4B6E">
              <w:rPr>
                <w:bCs/>
                <w:vertAlign w:val="superscript"/>
              </w:rPr>
              <w:t>cA</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7.70±0.63</w:t>
            </w:r>
            <w:r w:rsidRPr="00BB4B6E">
              <w:rPr>
                <w:bCs/>
                <w:vertAlign w:val="superscript"/>
              </w:rPr>
              <w:t>dB</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DAP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32.38±1.89</w:t>
            </w:r>
            <w:r w:rsidRPr="00BB4B6E">
              <w:rPr>
                <w:bCs/>
                <w:color w:val="000000" w:themeColor="text1"/>
                <w:vertAlign w:val="superscript"/>
              </w:rPr>
              <w:t>hA</w:t>
            </w:r>
          </w:p>
        </w:tc>
        <w:tc>
          <w:tcPr>
            <w:tcW w:w="168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38.66±1.79</w:t>
            </w:r>
            <w:r w:rsidRPr="00BB4B6E">
              <w:rPr>
                <w:bCs/>
                <w:vertAlign w:val="superscript"/>
              </w:rPr>
              <w:t>gB</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49.15±2.12</w:t>
            </w:r>
            <w:r>
              <w:rPr>
                <w:bCs/>
                <w:vertAlign w:val="superscript"/>
              </w:rPr>
              <w:t>gC</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28.64±2.87</w:t>
            </w:r>
            <w:r w:rsidRPr="00BB4B6E">
              <w:rPr>
                <w:bCs/>
                <w:color w:val="000000" w:themeColor="text1"/>
                <w:vertAlign w:val="superscript"/>
              </w:rPr>
              <w:t>gA</w:t>
            </w:r>
          </w:p>
        </w:tc>
        <w:tc>
          <w:tcPr>
            <w:tcW w:w="168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37.38±1.58</w:t>
            </w:r>
            <w:r w:rsidRPr="00BB4B6E">
              <w:rPr>
                <w:bCs/>
                <w:vertAlign w:val="superscript"/>
              </w:rPr>
              <w:t>gB</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49.88±1.58</w:t>
            </w:r>
            <w:r w:rsidRPr="00BB4B6E">
              <w:rPr>
                <w:bCs/>
                <w:vertAlign w:val="superscript"/>
              </w:rPr>
              <w:t>gC</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DAP+NPK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29.54±0.72</w:t>
            </w:r>
            <w:r w:rsidRPr="00BB4B6E">
              <w:rPr>
                <w:bCs/>
                <w:color w:val="000000" w:themeColor="text1"/>
                <w:vertAlign w:val="superscript"/>
              </w:rPr>
              <w:t>gA</w:t>
            </w:r>
          </w:p>
        </w:tc>
        <w:tc>
          <w:tcPr>
            <w:tcW w:w="168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37.62±2.87</w:t>
            </w:r>
            <w:r w:rsidRPr="00BB4B6E">
              <w:rPr>
                <w:bCs/>
                <w:vertAlign w:val="superscript"/>
              </w:rPr>
              <w:t>gB</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48.75±0.24</w:t>
            </w:r>
            <w:r>
              <w:rPr>
                <w:bCs/>
                <w:vertAlign w:val="superscript"/>
              </w:rPr>
              <w:t>gC</w:t>
            </w:r>
          </w:p>
        </w:tc>
        <w:tc>
          <w:tcPr>
            <w:tcW w:w="406"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Non-treated control </w:t>
            </w:r>
          </w:p>
        </w:tc>
        <w:tc>
          <w:tcPr>
            <w:tcW w:w="209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color w:val="000000" w:themeColor="text1"/>
              </w:rPr>
              <w:t>22.82±1.74</w:t>
            </w:r>
            <w:r w:rsidRPr="00BB4B6E">
              <w:rPr>
                <w:bCs/>
                <w:color w:val="000000" w:themeColor="text1"/>
                <w:vertAlign w:val="superscript"/>
              </w:rPr>
              <w:t>fA</w:t>
            </w:r>
          </w:p>
        </w:tc>
        <w:tc>
          <w:tcPr>
            <w:tcW w:w="1685"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30.15±0.87</w:t>
            </w:r>
            <w:r w:rsidRPr="00BB4B6E">
              <w:rPr>
                <w:bCs/>
                <w:vertAlign w:val="superscript"/>
              </w:rPr>
              <w:t>fA</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bCs/>
              </w:rPr>
              <w:t>37.93±1.64</w:t>
            </w:r>
            <w:r w:rsidRPr="00BB4B6E">
              <w:rPr>
                <w:bCs/>
                <w:vertAlign w:val="superscript"/>
              </w:rPr>
              <w:t>fA</w:t>
            </w:r>
          </w:p>
        </w:tc>
        <w:tc>
          <w:tcPr>
            <w:tcW w:w="406"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70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color w:val="000000" w:themeColor="text1"/>
              </w:rPr>
            </w:pPr>
            <w:r w:rsidRPr="00BB4B6E">
              <w:t>P-value˂0.01</w:t>
            </w:r>
          </w:p>
        </w:tc>
        <w:tc>
          <w:tcPr>
            <w:tcW w:w="2095"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685"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p>
        </w:tc>
        <w:tc>
          <w:tcPr>
            <w:tcW w:w="1620"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p>
        </w:tc>
        <w:tc>
          <w:tcPr>
            <w:tcW w:w="406"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934C1">
      <w:pPr>
        <w:spacing w:line="240" w:lineRule="auto"/>
        <w:rPr>
          <w:color w:val="000000" w:themeColor="text1"/>
          <w:lang w:eastAsia="sw-KE"/>
        </w:rPr>
      </w:pPr>
      <w:r w:rsidRPr="00BB4B6E">
        <w:rPr>
          <w:color w:val="000000" w:themeColor="text1"/>
          <w:lang w:eastAsia="sw-KE"/>
        </w:rPr>
        <w:t>Means ± SD superscripted with similar small letters within the same are not significantly different at p =0.05 (Anova).</w:t>
      </w:r>
    </w:p>
    <w:p w:rsidR="00F934C1" w:rsidRPr="00BB4B6E" w:rsidRDefault="00F934C1" w:rsidP="00F934C1">
      <w:pPr>
        <w:rPr>
          <w:lang w:val="sw-KE" w:eastAsia="sw-KE"/>
        </w:rPr>
      </w:pPr>
    </w:p>
    <w:p w:rsidR="00F934C1" w:rsidRPr="00BB4B6E" w:rsidRDefault="00F934C1" w:rsidP="00F934C1">
      <w:r w:rsidRPr="00BB4B6E">
        <w:rPr>
          <w:color w:val="000000" w:themeColor="text1"/>
        </w:rPr>
        <w:t>Table 4.3 indicate that the mean level of Cd (µ</w:t>
      </w:r>
      <w:r w:rsidRPr="00BB4B6E">
        <w:t>gg</w:t>
      </w:r>
      <w:r w:rsidRPr="00BB4B6E">
        <w:rPr>
          <w:vertAlign w:val="superscript"/>
        </w:rPr>
        <w:t>-1</w:t>
      </w:r>
      <w:r w:rsidRPr="00BB4B6E">
        <w:t xml:space="preserve">) </w:t>
      </w:r>
      <w:r w:rsidRPr="00BB4B6E">
        <w:rPr>
          <w:color w:val="000000" w:themeColor="text1"/>
        </w:rPr>
        <w:t xml:space="preserve">in kale leaves grown in soils treated with </w:t>
      </w:r>
      <w:r w:rsidRPr="00BB4B6E">
        <w:rPr>
          <w:color w:val="000000" w:themeColor="text1"/>
          <w:kern w:val="24"/>
        </w:rPr>
        <w:t xml:space="preserve">Syn nHA </w:t>
      </w:r>
      <w:r w:rsidRPr="00BB4B6E">
        <w:rPr>
          <w:color w:val="0E101A"/>
        </w:rPr>
        <w:t xml:space="preserve">and </w:t>
      </w:r>
      <w:r w:rsidRPr="00BB4B6E">
        <w:rPr>
          <w:color w:val="000000" w:themeColor="text1"/>
          <w:kern w:val="24"/>
        </w:rPr>
        <w:t xml:space="preserve">Bone nHA </w:t>
      </w:r>
      <w:r w:rsidRPr="00BB4B6E">
        <w:rPr>
          <w:lang w:val="sw-KE" w:eastAsia="sw-KE"/>
        </w:rPr>
        <w:t>nano-fertili</w:t>
      </w:r>
      <w:r>
        <w:rPr>
          <w:lang w:val="sw-KE" w:eastAsia="sw-KE"/>
        </w:rPr>
        <w:t>zers with their combination</w:t>
      </w:r>
      <w:r w:rsidRPr="00BB4B6E">
        <w:rPr>
          <w:lang w:val="sw-KE" w:eastAsia="sw-KE"/>
        </w:rPr>
        <w:t xml:space="preserve"> DAP and NPK </w:t>
      </w:r>
      <w:r w:rsidRPr="00BB4B6E">
        <w:rPr>
          <w:color w:val="000000" w:themeColor="text1"/>
        </w:rPr>
        <w:t xml:space="preserve">ranged from </w:t>
      </w:r>
      <w:r w:rsidRPr="00BB4B6E">
        <w:rPr>
          <w:color w:val="000000"/>
        </w:rPr>
        <w:t>51.21±1.14 (</w:t>
      </w:r>
      <w:r w:rsidRPr="00BB4B6E">
        <w:rPr>
          <w:color w:val="000000" w:themeColor="text1"/>
          <w:kern w:val="24"/>
        </w:rPr>
        <w:t xml:space="preserve">Syn nHA+ NPK </w:t>
      </w:r>
      <w:r w:rsidRPr="00BB4B6E">
        <w:rPr>
          <w:color w:val="000000"/>
        </w:rPr>
        <w:t>at 30 day) to 2.94±0.29</w:t>
      </w:r>
      <w:r w:rsidRPr="00BB4B6E">
        <w:t xml:space="preserve"> (bone nHA at 90 day). The mean levels of </w:t>
      </w:r>
      <w:r w:rsidRPr="00BB4B6E">
        <w:rPr>
          <w:color w:val="000000" w:themeColor="text1"/>
        </w:rPr>
        <w:t>Cd (µ</w:t>
      </w:r>
      <w:r w:rsidRPr="00BB4B6E">
        <w:t>gg</w:t>
      </w:r>
      <w:r w:rsidRPr="00BB4B6E">
        <w:rPr>
          <w:vertAlign w:val="superscript"/>
        </w:rPr>
        <w:t>-1</w:t>
      </w:r>
      <w:r w:rsidRPr="00BB4B6E">
        <w:t xml:space="preserve">) in spinach (Table 4.4) </w:t>
      </w:r>
      <w:r w:rsidRPr="00BB4B6E">
        <w:rPr>
          <w:color w:val="000000" w:themeColor="text1"/>
        </w:rPr>
        <w:t xml:space="preserve">ranged from </w:t>
      </w:r>
      <w:r w:rsidRPr="00BB4B6E">
        <w:rPr>
          <w:color w:val="000000"/>
        </w:rPr>
        <w:t>63.21±1.23</w:t>
      </w:r>
      <w:r w:rsidRPr="00BB4B6E">
        <w:rPr>
          <w:color w:val="000000" w:themeColor="text1"/>
        </w:rPr>
        <w:t xml:space="preserve"> µ</w:t>
      </w:r>
      <w:r w:rsidRPr="00BB4B6E">
        <w:t>gg</w:t>
      </w:r>
      <w:r w:rsidRPr="00BB4B6E">
        <w:rPr>
          <w:vertAlign w:val="superscript"/>
        </w:rPr>
        <w:t>-1</w:t>
      </w:r>
      <w:r w:rsidRPr="00BB4B6E">
        <w:rPr>
          <w:color w:val="000000"/>
        </w:rPr>
        <w:t xml:space="preserve"> (</w:t>
      </w:r>
      <w:r w:rsidRPr="00BB4B6E">
        <w:rPr>
          <w:color w:val="000000" w:themeColor="text1"/>
          <w:kern w:val="24"/>
        </w:rPr>
        <w:t xml:space="preserve">Syn nHA +NPK </w:t>
      </w:r>
      <w:r w:rsidRPr="00BB4B6E">
        <w:rPr>
          <w:color w:val="000000"/>
        </w:rPr>
        <w:t xml:space="preserve">at 30 day) to 3.56±0.93 </w:t>
      </w:r>
      <w:r w:rsidRPr="00BB4B6E">
        <w:t xml:space="preserve">(bone nHA at 90 day) </w:t>
      </w:r>
      <w:r w:rsidRPr="00BB4B6E">
        <w:lastRenderedPageBreak/>
        <w:t xml:space="preserve">while in beans (Table 4.5) the range was </w:t>
      </w:r>
      <w:r w:rsidRPr="00BB4B6E">
        <w:rPr>
          <w:color w:val="000000" w:themeColor="text1"/>
        </w:rPr>
        <w:t xml:space="preserve">from </w:t>
      </w:r>
      <w:r w:rsidRPr="00BB4B6E">
        <w:rPr>
          <w:color w:val="000000"/>
        </w:rPr>
        <w:t xml:space="preserve">38.97±0.82 (Syn NPK nano-fertilizer at 30 day) to 2.20±2.22 </w:t>
      </w:r>
      <w:r w:rsidRPr="00BB4B6E">
        <w:rPr>
          <w:color w:val="000000" w:themeColor="text1"/>
        </w:rPr>
        <w:t>µ</w:t>
      </w:r>
      <w:r w:rsidRPr="00BB4B6E">
        <w:t>gg</w:t>
      </w:r>
      <w:r w:rsidRPr="00BB4B6E">
        <w:rPr>
          <w:vertAlign w:val="superscript"/>
        </w:rPr>
        <w:t>-1</w:t>
      </w:r>
      <w:r w:rsidRPr="00BB4B6E">
        <w:t xml:space="preserve"> (bone nHA at 90 day). </w:t>
      </w:r>
      <w:r w:rsidRPr="00BB4B6E">
        <w:rPr>
          <w:color w:val="000000" w:themeColor="text1"/>
        </w:rPr>
        <w:t>At 90</w:t>
      </w:r>
      <w:r w:rsidRPr="00BB4B6E">
        <w:rPr>
          <w:color w:val="000000" w:themeColor="text1"/>
          <w:vertAlign w:val="superscript"/>
        </w:rPr>
        <w:t>th</w:t>
      </w:r>
      <w:r w:rsidRPr="00BB4B6E">
        <w:rPr>
          <w:color w:val="000000" w:themeColor="text1"/>
        </w:rPr>
        <w:t xml:space="preserve"> day (Table 4.6) all the plant leaves grown using nano-fertilizers had Cd uptake levels that were within FAO/WHO permissible levels of 10 µ</w:t>
      </w:r>
      <w:r w:rsidRPr="00BB4B6E">
        <w:t>gg</w:t>
      </w:r>
      <w:r w:rsidRPr="00BB4B6E">
        <w:rPr>
          <w:vertAlign w:val="superscript"/>
        </w:rPr>
        <w:t>-1</w:t>
      </w:r>
      <w:r w:rsidRPr="00BB4B6E">
        <w:t>.</w:t>
      </w:r>
    </w:p>
    <w:p w:rsidR="00F934C1" w:rsidRPr="00BB4B6E" w:rsidRDefault="00F934C1" w:rsidP="00F934C1"/>
    <w:p w:rsidR="00F934C1" w:rsidRPr="00BB4B6E" w:rsidRDefault="00F934C1" w:rsidP="00F934C1">
      <w:pPr>
        <w:rPr>
          <w:color w:val="000000" w:themeColor="text1"/>
          <w:kern w:val="24"/>
        </w:rPr>
      </w:pPr>
      <w:r w:rsidRPr="00BB4B6E">
        <w:t>In principle, there was a higher significant difference in reduction of the uptake of Cd in the plants with the growth period than the control (p&lt;0.01), signifying the effectiveness of nano-fertilizers in immobilizing Cd (Sun</w:t>
      </w:r>
      <w:r w:rsidRPr="00BB4B6E">
        <w:rPr>
          <w:i/>
        </w:rPr>
        <w:t xml:space="preserve"> et al., 2020;</w:t>
      </w:r>
      <w:r w:rsidRPr="00BB4B6E">
        <w:rPr>
          <w:color w:val="000000"/>
        </w:rPr>
        <w:t xml:space="preserve"> Zahra </w:t>
      </w:r>
      <w:r w:rsidRPr="00BB4B6E">
        <w:rPr>
          <w:i/>
          <w:color w:val="000000"/>
        </w:rPr>
        <w:t>et al.,</w:t>
      </w:r>
      <w:r w:rsidRPr="00BB4B6E">
        <w:rPr>
          <w:color w:val="000000"/>
        </w:rPr>
        <w:t xml:space="preserve"> 2019</w:t>
      </w:r>
      <w:r w:rsidRPr="00BB4B6E">
        <w:rPr>
          <w:i/>
        </w:rPr>
        <w:t>)</w:t>
      </w:r>
      <w:r w:rsidRPr="00BB4B6E">
        <w:t xml:space="preserve">. </w:t>
      </w:r>
      <w:r w:rsidRPr="00BB4B6E">
        <w:rPr>
          <w:color w:val="000000"/>
        </w:rPr>
        <w:t>The reduction over the growth period can also be attributed to the nano-fertilizers having longer contact time for the adsorption of Cd</w:t>
      </w:r>
      <w:r w:rsidRPr="00BB4B6E">
        <w:rPr>
          <w:color w:val="000000"/>
          <w:vertAlign w:val="superscript"/>
        </w:rPr>
        <w:t xml:space="preserve">2+ </w:t>
      </w:r>
      <w:r w:rsidRPr="00BB4B6E">
        <w:rPr>
          <w:color w:val="000000"/>
        </w:rPr>
        <w:t xml:space="preserve">thereby reducing their mobility and eventual uptake in plants. </w:t>
      </w:r>
      <w:r w:rsidRPr="00BB4B6E">
        <w:t>Nano-fertilizers</w:t>
      </w:r>
      <w:r w:rsidRPr="00BB4B6E">
        <w:rPr>
          <w:color w:val="000000"/>
        </w:rPr>
        <w:t xml:space="preserve"> have numerous adsorption, chelation and complexation sites that immobilize Cd</w:t>
      </w:r>
      <w:r w:rsidRPr="00BB4B6E">
        <w:rPr>
          <w:color w:val="000000"/>
          <w:vertAlign w:val="superscript"/>
        </w:rPr>
        <w:t>2+</w:t>
      </w:r>
      <w:r w:rsidRPr="00BB4B6E">
        <w:rPr>
          <w:color w:val="000000"/>
        </w:rPr>
        <w:t xml:space="preserve"> thereby reducing its uptake in plants (Zahra </w:t>
      </w:r>
      <w:r w:rsidRPr="00BB4B6E">
        <w:rPr>
          <w:i/>
          <w:color w:val="000000"/>
        </w:rPr>
        <w:t>et al.,</w:t>
      </w:r>
      <w:r w:rsidRPr="00BB4B6E">
        <w:rPr>
          <w:color w:val="000000"/>
        </w:rPr>
        <w:t xml:space="preserve"> 2019). </w:t>
      </w:r>
      <w:r w:rsidRPr="00BB4B6E">
        <w:t xml:space="preserve">The </w:t>
      </w:r>
      <w:r w:rsidRPr="00BB4B6E">
        <w:rPr>
          <w:color w:val="000000" w:themeColor="text1"/>
          <w:kern w:val="24"/>
        </w:rPr>
        <w:t>% reduction (</w:t>
      </w:r>
      <w:r w:rsidRPr="00BB4B6E">
        <w:rPr>
          <w:color w:val="000000" w:themeColor="text1"/>
        </w:rPr>
        <w:t>72.07 to 87.60 % in kale) (</w:t>
      </w:r>
      <w:r w:rsidRPr="00BB4B6E">
        <w:rPr>
          <w:bCs/>
          <w:color w:val="000000" w:themeColor="text1"/>
        </w:rPr>
        <w:t>Appendix I</w:t>
      </w:r>
      <w:r w:rsidRPr="00BB4B6E">
        <w:rPr>
          <w:color w:val="000000" w:themeColor="text1"/>
        </w:rPr>
        <w:t xml:space="preserve">) and (76.46 to 87.98 % in spinach) (Appendix I) </w:t>
      </w:r>
      <w:r w:rsidRPr="00BB4B6E">
        <w:rPr>
          <w:color w:val="000000" w:themeColor="text1"/>
          <w:kern w:val="24"/>
        </w:rPr>
        <w:t xml:space="preserve">was not only highest for the kale grown using </w:t>
      </w:r>
      <w:r w:rsidRPr="00BB4B6E">
        <w:t xml:space="preserve">bone nHA but </w:t>
      </w:r>
      <w:r w:rsidRPr="00BB4B6E">
        <w:rPr>
          <w:color w:val="000000"/>
        </w:rPr>
        <w:t xml:space="preserve">it was observed that during the growth period (30-90 days) of the plant, </w:t>
      </w:r>
      <w:r w:rsidRPr="00BB4B6E">
        <w:t>bone nHA showed significantly lower levels (</w:t>
      </w:r>
      <w:r w:rsidRPr="00BB4B6E">
        <w:rPr>
          <w:color w:val="000000" w:themeColor="text1"/>
        </w:rPr>
        <w:t>µ</w:t>
      </w:r>
      <w:r w:rsidRPr="00BB4B6E">
        <w:t>gg</w:t>
      </w:r>
      <w:r w:rsidRPr="00BB4B6E">
        <w:rPr>
          <w:vertAlign w:val="superscript"/>
        </w:rPr>
        <w:t>-1</w:t>
      </w:r>
      <w:r w:rsidRPr="00BB4B6E">
        <w:t>) of Cd (</w:t>
      </w:r>
      <w:r w:rsidRPr="00BB4B6E">
        <w:rPr>
          <w:color w:val="000000" w:themeColor="text1"/>
          <w:kern w:val="24"/>
        </w:rPr>
        <w:t>40.12±2.03) at 30 days, 16.33±0.31 at 60 days and 2.94±0.29 at 90 days) for the kales in comparison to all other treatments.</w:t>
      </w:r>
      <w:r w:rsidRPr="00BB4B6E">
        <w:rPr>
          <w:color w:val="000000" w:themeColor="text1"/>
        </w:rPr>
        <w:t xml:space="preserve">. </w:t>
      </w:r>
      <w:r w:rsidRPr="00BB4B6E">
        <w:t xml:space="preserve">Sun </w:t>
      </w:r>
      <w:r w:rsidRPr="00BB4B6E">
        <w:rPr>
          <w:i/>
        </w:rPr>
        <w:t>et al</w:t>
      </w:r>
      <w:r w:rsidRPr="00BB4B6E">
        <w:t>. (2020) reduced Cd, uptake by 62 % using nano Fe</w:t>
      </w:r>
      <w:r w:rsidRPr="00BB4B6E">
        <w:rPr>
          <w:vertAlign w:val="subscript"/>
        </w:rPr>
        <w:t>3</w:t>
      </w:r>
      <w:r w:rsidRPr="00BB4B6E">
        <w:t>O</w:t>
      </w:r>
      <w:r w:rsidRPr="00BB4B6E">
        <w:rPr>
          <w:vertAlign w:val="subscript"/>
        </w:rPr>
        <w:t>4</w:t>
      </w:r>
      <w:r w:rsidR="00C226E6" w:rsidRPr="00BB4B6E">
        <w:fldChar w:fldCharType="begin" w:fldLock="1"/>
      </w:r>
      <w:r w:rsidRPr="00BB4B6E">
        <w:instrText>ADDIN CSL_CITATION {"citationItems":[{"id":"ITEM-1","itemData":{"author":[{"dropping-particle":"","family":"Gil-Díaz M, Pinilla P","given":"Alonso J. J Hazard Mater.","non-dropping-particle":"","parse-names":false,"suffix":""}],"container-title":"Journal of Hazardous Matererial","id":"ITEM-1","issued":{"date-parts":[["2017"]]},"page":"812–819.","title":"Viability of a nanoremediation process in single or multi-metal (loid) contaminated soils.","type":"article-journal","volume":"321"},"uris":["http://www.mendeley.com/documents/?uuid=8f69852b-c5b0-44d9-909b-ee1a51d9e5ec"]}],"mendeley":{"formattedCitation":"(Gil-Díaz M, Pinilla P, 2017)","manualFormatting":"(Gil-Díaz et al., 2017;","plainTextFormattedCitation":"(Gil-Díaz M, Pinilla P, 2017)","previouslyFormattedCitation":"(Gil-Díaz M, Pinilla P, 2017)"},"properties":{"noteIndex":0},"schema":"https://github.com/citation-style-language/schema/raw/master/csl-citation.json"}</w:instrText>
      </w:r>
      <w:r w:rsidR="00C226E6" w:rsidRPr="00BB4B6E">
        <w:fldChar w:fldCharType="separate"/>
      </w:r>
      <w:r w:rsidRPr="00BB4B6E">
        <w:rPr>
          <w:noProof/>
        </w:rPr>
        <w:t xml:space="preserve">(Gil-Díaz </w:t>
      </w:r>
      <w:r w:rsidRPr="00BB4B6E">
        <w:rPr>
          <w:i/>
          <w:noProof/>
        </w:rPr>
        <w:t>et al</w:t>
      </w:r>
      <w:r w:rsidRPr="00BB4B6E">
        <w:rPr>
          <w:noProof/>
        </w:rPr>
        <w:t>., 2017;</w:t>
      </w:r>
      <w:r w:rsidR="00C226E6" w:rsidRPr="00BB4B6E">
        <w:fldChar w:fldCharType="end"/>
      </w:r>
      <w:r w:rsidR="00C226E6" w:rsidRPr="00BB4B6E">
        <w:fldChar w:fldCharType="begin" w:fldLock="1"/>
      </w:r>
      <w:r w:rsidRPr="00BB4B6E">
        <w:instrText>ADDIN CSL_CITATION {"citationItems":[{"id":"ITEM-1","itemData":{"author":[{"dropping-particle":"","family":"Saghi A, Rashed Mohassel MH","given":"Parsa M. P","non-dropping-particle":"","parse-names":false,"suffix":""}],"container-title":"International Journal Phytoremediation","id":"ITEM-1","issued":{"date-parts":[["2016"]]},"page":"387–392.","title":"hytoremediation of lead-contaminated soil by Sinapis arvensis and Rapistrum rugosum.","type":"article-journal","volume":"4"},"uris":["http://www.mendeley.com/documents/?uuid=9e4f4e57-75e5-4b48-9eb3-29d10aadad6e"]}],"mendeley":{"formattedCitation":"(Saghi A, Rashed Mohassel MH, 2016)","manualFormatting":"Saghi et al., 2016)","plainTextFormattedCitation":"(Saghi A, Rashed Mohassel MH, 2016)","previouslyFormattedCitation":"(Saghi A, Rashed Mohassel MH, 2016)"},"properties":{"noteIndex":0},"schema":"https://github.com/citation-style-language/schema/raw/master/csl-citation.json"}</w:instrText>
      </w:r>
      <w:r w:rsidR="00C226E6" w:rsidRPr="00BB4B6E">
        <w:fldChar w:fldCharType="separate"/>
      </w:r>
      <w:r w:rsidRPr="00BB4B6E">
        <w:rPr>
          <w:noProof/>
        </w:rPr>
        <w:t xml:space="preserve">Saghi </w:t>
      </w:r>
      <w:r w:rsidRPr="00BB4B6E">
        <w:rPr>
          <w:i/>
          <w:noProof/>
        </w:rPr>
        <w:t>et al</w:t>
      </w:r>
      <w:r w:rsidRPr="00BB4B6E">
        <w:rPr>
          <w:noProof/>
        </w:rPr>
        <w:t>., 2016)</w:t>
      </w:r>
      <w:r w:rsidR="00C226E6" w:rsidRPr="00BB4B6E">
        <w:fldChar w:fldCharType="end"/>
      </w:r>
      <w:r w:rsidRPr="00BB4B6E">
        <w:t>. This was significantly lower % redu</w:t>
      </w:r>
      <w:r w:rsidR="00E90A94">
        <w:t>ction than those obtained in this</w:t>
      </w:r>
      <w:r w:rsidRPr="00BB4B6E">
        <w:t xml:space="preserve"> study, signifying effectiveness of bone nanofertilizers.</w:t>
      </w:r>
    </w:p>
    <w:p w:rsidR="00F934C1" w:rsidRPr="00BB4B6E" w:rsidRDefault="00F934C1" w:rsidP="00F934C1">
      <w:pPr>
        <w:rPr>
          <w:color w:val="000000" w:themeColor="text1"/>
          <w:kern w:val="24"/>
        </w:rPr>
      </w:pPr>
    </w:p>
    <w:p w:rsidR="00F934C1" w:rsidRPr="00BB4B6E" w:rsidRDefault="00F934C1" w:rsidP="00F934C1">
      <w:pPr>
        <w:rPr>
          <w:color w:val="000000"/>
        </w:rPr>
      </w:pPr>
      <w:r w:rsidRPr="00BB4B6E">
        <w:rPr>
          <w:color w:val="000000" w:themeColor="text1"/>
          <w:kern w:val="24"/>
        </w:rPr>
        <w:t>Table 4.6 shows that Cd uptake in spinach at 90</w:t>
      </w:r>
      <w:r w:rsidRPr="00BB4B6E">
        <w:rPr>
          <w:color w:val="000000" w:themeColor="text1"/>
          <w:kern w:val="24"/>
          <w:vertAlign w:val="superscript"/>
        </w:rPr>
        <w:t>th</w:t>
      </w:r>
      <w:r w:rsidRPr="00BB4B6E">
        <w:rPr>
          <w:color w:val="000000" w:themeColor="text1"/>
          <w:kern w:val="24"/>
        </w:rPr>
        <w:t xml:space="preserve"> day was significantly higher than in kales for respective treatments. </w:t>
      </w:r>
      <w:r w:rsidRPr="00BB4B6E">
        <w:rPr>
          <w:color w:val="000000"/>
          <w:lang w:val="sw-KE" w:eastAsia="sw-KE"/>
        </w:rPr>
        <w:t xml:space="preserve">This is because spinach is a higher heavy metal accumulator </w:t>
      </w:r>
      <w:r w:rsidRPr="00BB4B6E">
        <w:rPr>
          <w:color w:val="000000" w:themeColor="text1"/>
        </w:rPr>
        <w:t>(</w:t>
      </w:r>
      <w:r w:rsidRPr="00BB4B6E">
        <w:rPr>
          <w:noProof/>
          <w:color w:val="000000"/>
        </w:rPr>
        <w:t xml:space="preserve">Sun </w:t>
      </w:r>
      <w:r w:rsidRPr="00BB4B6E">
        <w:rPr>
          <w:i/>
          <w:noProof/>
          <w:color w:val="000000"/>
        </w:rPr>
        <w:t>et al</w:t>
      </w:r>
      <w:r>
        <w:rPr>
          <w:noProof/>
          <w:color w:val="000000"/>
        </w:rPr>
        <w:t xml:space="preserve">., 2020; </w:t>
      </w:r>
      <w:r w:rsidRPr="00BB4B6E">
        <w:rPr>
          <w:color w:val="000000" w:themeColor="text1"/>
        </w:rPr>
        <w:t xml:space="preserve">Zhang </w:t>
      </w:r>
      <w:r w:rsidRPr="00BB4B6E">
        <w:rPr>
          <w:i/>
          <w:color w:val="000000" w:themeColor="text1"/>
        </w:rPr>
        <w:t>et al</w:t>
      </w:r>
      <w:r w:rsidRPr="00BB4B6E">
        <w:rPr>
          <w:color w:val="000000" w:themeColor="text1"/>
        </w:rPr>
        <w:t>., 2019</w:t>
      </w:r>
      <w:r w:rsidRPr="00BB4B6E">
        <w:rPr>
          <w:color w:val="000000"/>
        </w:rPr>
        <w:t xml:space="preserve">). </w:t>
      </w:r>
      <w:r w:rsidRPr="00BB4B6E">
        <w:t xml:space="preserve">However, Cd uptake in bean was </w:t>
      </w:r>
      <w:r w:rsidRPr="00BB4B6E">
        <w:lastRenderedPageBreak/>
        <w:t xml:space="preserve">lowest in comparison with kales and spinach grown in respective treatments, since beans are least heavy metal accumulators (Rizwan </w:t>
      </w:r>
      <w:r w:rsidRPr="00BB4B6E">
        <w:rPr>
          <w:i/>
        </w:rPr>
        <w:t>et al</w:t>
      </w:r>
      <w:r w:rsidRPr="00BB4B6E">
        <w:t xml:space="preserve">., 2017). Rizwan </w:t>
      </w:r>
      <w:r w:rsidRPr="00BB4B6E">
        <w:rPr>
          <w:i/>
        </w:rPr>
        <w:t>et al</w:t>
      </w:r>
      <w:r w:rsidRPr="00BB4B6E">
        <w:t xml:space="preserve">. (2017) used zinc–lysine nanoparticles to reduced Cd in green pepper by 6.9 % to 11.6 % and eggplant fruits by 15.3 % to 15.6 % respectively which was significantly lower that results obtained in this study. Other studies of using nanoparticles have recorded signiﬁcantly lower % reduction </w:t>
      </w:r>
      <w:r>
        <w:t xml:space="preserve">of </w:t>
      </w:r>
      <w:r w:rsidRPr="00BB4B6E">
        <w:t xml:space="preserve">Cd compared to this study. For instance, </w:t>
      </w:r>
      <w:r w:rsidR="00C226E6" w:rsidRPr="00BB4B6E">
        <w:rPr>
          <w:color w:val="000000"/>
        </w:rPr>
        <w:fldChar w:fldCharType="begin" w:fldLock="1"/>
      </w:r>
      <w:r w:rsidRPr="00BB4B6E">
        <w:rPr>
          <w:color w:val="000000"/>
        </w:rPr>
        <w:instrText>ADDIN CSL_CITATION {"citationItems":[{"id":"ITEM-1","itemData":{"author":[{"dropping-particle":"","family":"Joshi","given":"A.","non-dropping-particle":"","parse-names":false,"suffix":""},{"dropping-particle":"","family":"Kaur","given":"S.","non-dropping-particle":"","parse-names":false,"suffix":""},{"dropping-particle":"","family":"Dharamvir","given":"K.","non-dropping-particle":"","parse-names":false,"suffix":""},{"dropping-particle":"","family":"Nayyar","given":"H.","non-dropping-particle":"","parse-names":false,"suffix":""},{"dropping-particle":"","family":"Verma","given":"G.","non-dropping-particle":"","parse-names":false,"suffix":""}],"container-title":"Journal of Science and Food Agriculture.","id":"ITEM-1","issued":{"date-parts":[["2018"]]},"page":"3148–3160.","title":"Multi-walled carbon nanotubes applied through seed-priming influence early germination, root hair, growth and yield of bread wheat (Triticum aestivum L.)","type":"article-journal","volume":"98"},"uris":["http://www.mendeley.com/documents/?uuid=82159b39-f43c-42bb-a788-e13f322bbf09"]}],"mendeley":{"formattedCitation":"(Joshi et al., 2018)","manualFormatting":"Wang et al.(2014)","plainTextFormattedCitation":"(Joshi et al., 2018)","previouslyFormattedCitation":"(Joshi et al., 2018)"},"properties":{"noteIndex":0},"schema":"https://github.com/citation-style-language/schema/raw/master/csl-citation.json"}</w:instrText>
      </w:r>
      <w:r w:rsidR="00C226E6" w:rsidRPr="00BB4B6E">
        <w:rPr>
          <w:color w:val="000000"/>
        </w:rPr>
        <w:fldChar w:fldCharType="separate"/>
      </w:r>
      <w:r w:rsidRPr="00BB4B6E">
        <w:rPr>
          <w:noProof/>
          <w:color w:val="000000"/>
        </w:rPr>
        <w:t xml:space="preserve">Wang </w:t>
      </w:r>
      <w:r w:rsidRPr="00BB4B6E">
        <w:rPr>
          <w:i/>
          <w:noProof/>
          <w:color w:val="000000"/>
        </w:rPr>
        <w:t>et al.</w:t>
      </w:r>
      <w:r w:rsidRPr="00BB4B6E">
        <w:rPr>
          <w:noProof/>
          <w:color w:val="000000"/>
        </w:rPr>
        <w:t>(2016)</w:t>
      </w:r>
      <w:r w:rsidR="00C226E6" w:rsidRPr="00BB4B6E">
        <w:rPr>
          <w:color w:val="000000"/>
        </w:rPr>
        <w:fldChar w:fldCharType="end"/>
      </w:r>
      <w:r w:rsidRPr="00BB4B6E">
        <w:rPr>
          <w:color w:val="000000"/>
        </w:rPr>
        <w:t xml:space="preserve"> used silicon </w:t>
      </w:r>
      <w:r w:rsidRPr="00BB4B6E">
        <w:t xml:space="preserve">nanoparticle in rice, to decrease Cd uptake by 59.25 %. In wheat </w:t>
      </w:r>
      <w:r w:rsidR="00C226E6" w:rsidRPr="00BB4B6E">
        <w:rPr>
          <w:color w:val="000000"/>
        </w:rPr>
        <w:fldChar w:fldCharType="begin" w:fldLock="1"/>
      </w:r>
      <w:r w:rsidRPr="00BB4B6E">
        <w:rPr>
          <w:color w:val="000000"/>
        </w:rPr>
        <w:instrText>ADDIN CSL_CITATION {"citationItems":[{"id":"ITEM-1","itemData":{"author":[{"dropping-particle":"","family":"Du","given":"W.","non-dropping-particle":"","parse-names":false,"suffix":""},{"dropping-particle":"","family":"Yang","given":"J.","non-dropping-particle":"","parse-names":false,"suffix":""},{"dropping-particle":"","family":"Peng","given":"Q.","non-dropping-particle":"","parse-names":false,"suffix":""},{"dropping-particle":"","family":"Liang","given":"X.","non-dropping-particle":"","parse-names":false,"suffix":""},{"dropping-particle":"","family":"Mao","given":"H.","non-dropping-particle":"","parse-names":false,"suffix":""}],"container-title":"Chemosphere","id":"ITEM-1","issued":{"date-parts":[["2019"]]},"page":"109–116.","title":"Comparison study of zinc nanoparticles and zinc sulphate on wheat growth: From toxicity and zinc biofortification.","type":"article-journal","volume":"227"},"uris":["http://www.mendeley.com/documents/?uuid=b50accd4-9d5a-48db-bba8-56430d7b2396"]}],"mendeley":{"formattedCitation":"(Du et al., 2019)","manualFormatting":"Du et al.(2019)","plainTextFormattedCitation":"(Du et al., 2019)","previouslyFormattedCitation":"(Du et al., 2019)"},"properties":{"noteIndex":0},"schema":"https://github.com/citation-style-language/schema/raw/master/csl-citation.json"}</w:instrText>
      </w:r>
      <w:r w:rsidR="00C226E6" w:rsidRPr="00BB4B6E">
        <w:rPr>
          <w:color w:val="000000"/>
        </w:rPr>
        <w:fldChar w:fldCharType="separate"/>
      </w:r>
      <w:r w:rsidRPr="00BB4B6E">
        <w:rPr>
          <w:noProof/>
          <w:color w:val="000000"/>
        </w:rPr>
        <w:t>Du</w:t>
      </w:r>
      <w:r w:rsidRPr="00BB4B6E">
        <w:rPr>
          <w:i/>
          <w:noProof/>
          <w:color w:val="000000"/>
        </w:rPr>
        <w:t xml:space="preserve"> et al.</w:t>
      </w:r>
      <w:r w:rsidRPr="00BB4B6E">
        <w:rPr>
          <w:noProof/>
          <w:color w:val="000000"/>
        </w:rPr>
        <w:t>(2019)</w:t>
      </w:r>
      <w:r w:rsidR="00C226E6" w:rsidRPr="00BB4B6E">
        <w:rPr>
          <w:color w:val="000000"/>
        </w:rPr>
        <w:fldChar w:fldCharType="end"/>
      </w:r>
      <w:r w:rsidRPr="00BB4B6E">
        <w:rPr>
          <w:color w:val="000000"/>
        </w:rPr>
        <w:t xml:space="preserve"> used ZnO to reduced Cd by 28.1 %, </w:t>
      </w:r>
      <w:r w:rsidRPr="00BB4B6E">
        <w:rPr>
          <w:noProof/>
        </w:rPr>
        <w:t xml:space="preserve">Saifullah </w:t>
      </w:r>
      <w:r w:rsidRPr="00BB4B6E">
        <w:rPr>
          <w:i/>
          <w:noProof/>
        </w:rPr>
        <w:t>et al</w:t>
      </w:r>
      <w:r w:rsidRPr="00BB4B6E">
        <w:rPr>
          <w:noProof/>
        </w:rPr>
        <w:t>. (2016)</w:t>
      </w:r>
      <w:r w:rsidRPr="00BB4B6E">
        <w:t xml:space="preserve"> showed Cd, uptake reduction of 74 % using ZnO nanoparticles, while </w:t>
      </w:r>
      <w:r w:rsidRPr="00BB4B6E">
        <w:rPr>
          <w:noProof/>
        </w:rPr>
        <w:t xml:space="preserve">Naeem </w:t>
      </w:r>
      <w:r w:rsidRPr="00BB4B6E">
        <w:rPr>
          <w:i/>
          <w:noProof/>
        </w:rPr>
        <w:t>et al</w:t>
      </w:r>
      <w:r w:rsidRPr="00BB4B6E">
        <w:rPr>
          <w:noProof/>
        </w:rPr>
        <w:t>. (2018)</w:t>
      </w:r>
      <w:r w:rsidRPr="00BB4B6E">
        <w:t xml:space="preserve"> used nano SiO</w:t>
      </w:r>
      <w:r w:rsidRPr="00BB4B6E">
        <w:rPr>
          <w:vertAlign w:val="subscript"/>
        </w:rPr>
        <w:t>2</w:t>
      </w:r>
      <w:r w:rsidRPr="00BB4B6E">
        <w:t xml:space="preserve"> to reduce Cd uptake by 28 %. </w:t>
      </w:r>
      <w:r w:rsidR="00C226E6" w:rsidRPr="00BB4B6E">
        <w:rPr>
          <w:color w:val="000000"/>
        </w:rPr>
        <w:fldChar w:fldCharType="begin" w:fldLock="1"/>
      </w:r>
      <w:r w:rsidRPr="00BB4B6E">
        <w:rPr>
          <w:color w:val="000000"/>
        </w:rPr>
        <w:instrText>ADDIN CSL_CITATION {"citationItems":[{"id":"ITEM-1","itemData":{"author":[{"dropping-particle":"","family":"Joshi","given":"A.","non-dropping-particle":"","parse-names":false,"suffix":""},{"dropping-particle":"","family":"Kaur","given":"S.","non-dropping-particle":"","parse-names":false,"suffix":""},{"dropping-particle":"","family":"Dharamvir","given":"K.","non-dropping-particle":"","parse-names":false,"suffix":""},{"dropping-particle":"","family":"Nayyar","given":"H.","non-dropping-particle":"","parse-names":false,"suffix":""},{"dropping-particle":"","family":"Verma","given":"G.","non-dropping-particle":"","parse-names":false,"suffix":""}],"container-title":"Journal of Science and Food Agriculture.","id":"ITEM-1","issued":{"date-parts":[["2018"]]},"page":"3148–3160.","title":"Multi-walled carbon nanotubes applied through seed-priming influence early germination, root hair, growth and yield of bread wheat (Triticum aestivum L.)","type":"article-journal","volume":"98"},"uris":["http://www.mendeley.com/documents/?uuid=82159b39-f43c-42bb-a788-e13f322bbf09"]}],"mendeley":{"formattedCitation":"(Joshi et al., 2018)","manualFormatting":"Joshi et al.(2018)","plainTextFormattedCitation":"(Joshi et al., 2018)","previouslyFormattedCitation":"(Joshi et al., 2018)"},"properties":{"noteIndex":0},"schema":"https://github.com/citation-style-language/schema/raw/master/csl-citation.json"}</w:instrText>
      </w:r>
      <w:r w:rsidR="00C226E6" w:rsidRPr="00BB4B6E">
        <w:rPr>
          <w:color w:val="000000"/>
        </w:rPr>
        <w:fldChar w:fldCharType="separate"/>
      </w:r>
      <w:r w:rsidRPr="00BB4B6E">
        <w:rPr>
          <w:noProof/>
          <w:color w:val="000000"/>
        </w:rPr>
        <w:t xml:space="preserve">Zhangwei </w:t>
      </w:r>
      <w:r w:rsidRPr="00BB4B6E">
        <w:rPr>
          <w:i/>
          <w:noProof/>
          <w:color w:val="000000"/>
        </w:rPr>
        <w:t xml:space="preserve">et al. </w:t>
      </w:r>
      <w:r w:rsidRPr="00BB4B6E">
        <w:rPr>
          <w:noProof/>
          <w:color w:val="000000"/>
        </w:rPr>
        <w:t>(2019)</w:t>
      </w:r>
      <w:r w:rsidR="00C226E6" w:rsidRPr="00BB4B6E">
        <w:rPr>
          <w:color w:val="000000"/>
        </w:rPr>
        <w:fldChar w:fldCharType="end"/>
      </w:r>
      <w:r w:rsidRPr="00BB4B6E">
        <w:rPr>
          <w:color w:val="000000"/>
        </w:rPr>
        <w:t xml:space="preserve"> reduced Cd uptake in rice by 30.7 % using synthetic nHA. </w:t>
      </w:r>
      <w:r w:rsidRPr="00BB4B6E">
        <w:rPr>
          <w:noProof/>
        </w:rPr>
        <w:t xml:space="preserve">Zang </w:t>
      </w:r>
      <w:r w:rsidRPr="00BB4B6E">
        <w:rPr>
          <w:i/>
          <w:noProof/>
        </w:rPr>
        <w:t>et al</w:t>
      </w:r>
      <w:r w:rsidRPr="00BB4B6E">
        <w:rPr>
          <w:noProof/>
        </w:rPr>
        <w:t>. (2019)</w:t>
      </w:r>
      <w:r w:rsidRPr="00BB4B6E">
        <w:t xml:space="preserve"> showed Cd uptake reduction of 12.4 % in spinach using TiO</w:t>
      </w:r>
      <w:r w:rsidRPr="00BB4B6E">
        <w:rPr>
          <w:vertAlign w:val="subscript"/>
        </w:rPr>
        <w:t>2</w:t>
      </w:r>
      <w:r w:rsidRPr="00BB4B6E">
        <w:t xml:space="preserve"> nanoparticles.</w:t>
      </w:r>
    </w:p>
    <w:p w:rsidR="00F934C1" w:rsidRPr="00BB4B6E" w:rsidRDefault="00F934C1" w:rsidP="00F934C1">
      <w:pPr>
        <w:rPr>
          <w:color w:val="000000" w:themeColor="text1"/>
          <w:kern w:val="24"/>
        </w:rPr>
      </w:pPr>
    </w:p>
    <w:p w:rsidR="00F934C1" w:rsidRPr="00BB4B6E" w:rsidRDefault="00E90A94" w:rsidP="00F934C1">
      <w:pPr>
        <w:rPr>
          <w:color w:val="000000"/>
          <w:lang w:val="sw-KE" w:eastAsia="sw-KE"/>
        </w:rPr>
      </w:pPr>
      <w:r>
        <w:rPr>
          <w:color w:val="000000" w:themeColor="text1"/>
          <w:kern w:val="24"/>
        </w:rPr>
        <w:t>The B</w:t>
      </w:r>
      <w:r w:rsidR="00F934C1" w:rsidRPr="00BB4B6E">
        <w:rPr>
          <w:color w:val="000000" w:themeColor="text1"/>
          <w:kern w:val="24"/>
        </w:rPr>
        <w:t xml:space="preserve">one nHA </w:t>
      </w:r>
      <w:r w:rsidR="00F934C1" w:rsidRPr="00BB4B6E">
        <w:rPr>
          <w:color w:val="000000"/>
        </w:rPr>
        <w:t xml:space="preserve">had significantly higher % Cd reduction than the </w:t>
      </w:r>
      <w:r w:rsidR="00F934C1" w:rsidRPr="00BB4B6E">
        <w:rPr>
          <w:color w:val="000000" w:themeColor="text1"/>
          <w:kern w:val="24"/>
        </w:rPr>
        <w:t>Syn nHA (p&lt;0.01). At 90 days in kales, the Cd uptake was significantly lower (2.94±0.29</w:t>
      </w:r>
      <w:r w:rsidR="00F934C1" w:rsidRPr="00BB4B6E">
        <w:rPr>
          <w:color w:val="000000" w:themeColor="text1"/>
        </w:rPr>
        <w:t xml:space="preserve"> µ</w:t>
      </w:r>
      <w:r w:rsidR="00F934C1" w:rsidRPr="00BB4B6E">
        <w:t>gg</w:t>
      </w:r>
      <w:r w:rsidR="00F934C1" w:rsidRPr="00BB4B6E">
        <w:rPr>
          <w:vertAlign w:val="superscript"/>
        </w:rPr>
        <w:t>-1</w:t>
      </w:r>
      <w:r w:rsidR="00F934C1" w:rsidRPr="00BB4B6E">
        <w:rPr>
          <w:color w:val="000000" w:themeColor="text1"/>
          <w:kern w:val="24"/>
        </w:rPr>
        <w:t>) for Bone nHA than Syn nHA (4.91±1.92</w:t>
      </w:r>
      <w:r w:rsidR="00F934C1" w:rsidRPr="00BB4B6E">
        <w:rPr>
          <w:color w:val="000000" w:themeColor="text1"/>
        </w:rPr>
        <w:t xml:space="preserve"> µ</w:t>
      </w:r>
      <w:r w:rsidR="00F934C1" w:rsidRPr="00BB4B6E">
        <w:t>gg</w:t>
      </w:r>
      <w:r w:rsidR="00F934C1" w:rsidRPr="00BB4B6E">
        <w:rPr>
          <w:vertAlign w:val="superscript"/>
        </w:rPr>
        <w:t>-1</w:t>
      </w:r>
      <w:r w:rsidR="00F934C1" w:rsidRPr="00BB4B6E">
        <w:rPr>
          <w:color w:val="000000" w:themeColor="text1"/>
          <w:kern w:val="24"/>
        </w:rPr>
        <w:t xml:space="preserve">). </w:t>
      </w:r>
      <w:r w:rsidR="00F934C1" w:rsidRPr="00BB4B6E">
        <w:rPr>
          <w:color w:val="000000"/>
        </w:rPr>
        <w:t>This is attributed to bone nHA having higher stability, higher number of adsorption sites and larger contact surface area exposed to volume ratio for adsorption, chelation and complexation of Cd</w:t>
      </w:r>
      <w:r w:rsidR="00F934C1" w:rsidRPr="00BB4B6E">
        <w:rPr>
          <w:color w:val="000000"/>
          <w:vertAlign w:val="superscript"/>
        </w:rPr>
        <w:t>2+</w:t>
      </w:r>
      <w:r w:rsidR="00F934C1" w:rsidRPr="00BB4B6E">
        <w:rPr>
          <w:color w:val="000000"/>
        </w:rPr>
        <w:t xml:space="preserve">compared to synthetic nHA, thereby reducing Cd uptake in kales (Zahra </w:t>
      </w:r>
      <w:r w:rsidR="00F934C1" w:rsidRPr="00BB4B6E">
        <w:rPr>
          <w:i/>
          <w:color w:val="000000"/>
        </w:rPr>
        <w:t>et al.,</w:t>
      </w:r>
      <w:r w:rsidR="00F934C1" w:rsidRPr="00BB4B6E">
        <w:rPr>
          <w:color w:val="000000"/>
        </w:rPr>
        <w:t xml:space="preserve"> 2019)</w:t>
      </w:r>
      <w:r w:rsidR="00F934C1" w:rsidRPr="00BB4B6E">
        <w:rPr>
          <w:color w:val="000000" w:themeColor="text1"/>
          <w:kern w:val="24"/>
        </w:rPr>
        <w:t xml:space="preserve">. </w:t>
      </w:r>
      <w:r w:rsidR="00F934C1" w:rsidRPr="00BB4B6E">
        <w:rPr>
          <w:color w:val="000000" w:themeColor="text1"/>
          <w:lang w:val="sw-KE" w:eastAsia="sw-KE"/>
        </w:rPr>
        <w:t xml:space="preserve">There </w:t>
      </w:r>
      <w:r w:rsidR="00F934C1" w:rsidRPr="00BB4B6E">
        <w:rPr>
          <w:color w:val="000000"/>
          <w:lang w:val="sw-KE" w:eastAsia="sw-KE"/>
        </w:rPr>
        <w:t>was variation in Cd uptake among the nano-fertilizer treatments due to the differences in the type of amendment that varied number of adsorption sites as per treatment. This elaborates that the number of adsorption sites varies widely depending on ameliorate added to the pots.</w:t>
      </w:r>
    </w:p>
    <w:p w:rsidR="00F934C1" w:rsidRPr="00BB4B6E" w:rsidRDefault="00F934C1" w:rsidP="00F934C1">
      <w:pPr>
        <w:pStyle w:val="Heading3"/>
        <w:spacing w:before="0"/>
        <w:rPr>
          <w:rFonts w:cs="Times New Roman"/>
        </w:rPr>
      </w:pPr>
      <w:bookmarkStart w:id="201" w:name="_Toc144820060"/>
      <w:r w:rsidRPr="00BB4B6E">
        <w:rPr>
          <w:rFonts w:cs="Times New Roman"/>
          <w:color w:val="auto"/>
          <w:lang w:val="sw-KE" w:eastAsia="sw-KE"/>
        </w:rPr>
        <w:lastRenderedPageBreak/>
        <w:t xml:space="preserve">4.4.2 </w:t>
      </w:r>
      <w:r w:rsidRPr="00BB4B6E">
        <w:rPr>
          <w:rFonts w:cs="Times New Roman"/>
          <w:color w:val="0E101A"/>
        </w:rPr>
        <w:t xml:space="preserve">Uptake Levels of Pb in </w:t>
      </w:r>
      <w:r w:rsidRPr="00BB4B6E">
        <w:rPr>
          <w:rFonts w:cs="Times New Roman"/>
        </w:rPr>
        <w:t xml:space="preserve">Plant Leaves </w:t>
      </w:r>
      <w:r w:rsidRPr="00BB4B6E">
        <w:rPr>
          <w:rFonts w:cs="Times New Roman"/>
          <w:color w:val="0E101A"/>
        </w:rPr>
        <w:t>Grown Using Nano-fertilizers</w:t>
      </w:r>
      <w:bookmarkEnd w:id="201"/>
    </w:p>
    <w:p w:rsidR="00F934C1" w:rsidRDefault="00F934C1" w:rsidP="00F934C1">
      <w:pPr>
        <w:rPr>
          <w:lang w:val="sw-KE" w:eastAsia="sw-KE"/>
        </w:rPr>
      </w:pPr>
      <w:r w:rsidRPr="00BB4B6E">
        <w:rPr>
          <w:lang w:val="sw-KE" w:eastAsia="sw-KE"/>
        </w:rPr>
        <w:t xml:space="preserve">Tables 4.7, 4.8 and 4.9 shows the uptake levels of lead (Pb) in kale, spinach and bean leaves grown using various treatments of </w:t>
      </w:r>
      <w:r w:rsidRPr="00BB4B6E">
        <w:rPr>
          <w:color w:val="000000" w:themeColor="text1"/>
          <w:kern w:val="24"/>
        </w:rPr>
        <w:t>Syn nHA and</w:t>
      </w:r>
      <w:r>
        <w:rPr>
          <w:color w:val="000000" w:themeColor="text1"/>
          <w:kern w:val="24"/>
        </w:rPr>
        <w:t xml:space="preserve"> </w:t>
      </w:r>
      <w:r w:rsidRPr="00BB4B6E">
        <w:rPr>
          <w:color w:val="000000" w:themeColor="text1"/>
          <w:kern w:val="24"/>
        </w:rPr>
        <w:t xml:space="preserve">Bone nHA </w:t>
      </w:r>
      <w:r w:rsidRPr="00BB4B6E">
        <w:rPr>
          <w:lang w:val="sw-KE" w:eastAsia="sw-KE"/>
        </w:rPr>
        <w:t>at 30, 60 and 90 day</w:t>
      </w:r>
      <w:r>
        <w:rPr>
          <w:lang w:val="sw-KE" w:eastAsia="sw-KE"/>
        </w:rPr>
        <w:t>.</w:t>
      </w:r>
      <w:r w:rsidR="00FB54EB" w:rsidRPr="00FB54EB">
        <w:rPr>
          <w:lang w:val="sw-KE" w:eastAsia="sw-KE"/>
        </w:rPr>
        <w:t xml:space="preserve"> </w:t>
      </w:r>
      <w:r w:rsidR="00FB54EB">
        <w:rPr>
          <w:lang w:val="sw-KE" w:eastAsia="sw-KE"/>
        </w:rPr>
        <w:t>Table 4.10 shows a comparison of Pb uptake  of the crops at 90th day</w:t>
      </w:r>
    </w:p>
    <w:p w:rsidR="00FB54EB" w:rsidRPr="00BB4B6E" w:rsidRDefault="00FB54EB" w:rsidP="00F934C1">
      <w:pPr>
        <w:rPr>
          <w:lang w:val="sw-KE" w:eastAsia="sw-KE"/>
        </w:rPr>
      </w:pPr>
    </w:p>
    <w:p w:rsidR="00F934C1" w:rsidRPr="00BB4B6E" w:rsidRDefault="00F934C1" w:rsidP="00F934C1">
      <w:pPr>
        <w:pStyle w:val="Heading4"/>
      </w:pPr>
      <w:bookmarkStart w:id="202" w:name="_Toc120047574"/>
      <w:bookmarkStart w:id="203" w:name="_Toc144222338"/>
      <w:r>
        <w:t xml:space="preserve">Table 4.7: </w:t>
      </w:r>
      <w:r>
        <w:rPr>
          <w:lang w:eastAsia="sw-KE"/>
        </w:rPr>
        <w:t>Levels of l</w:t>
      </w:r>
      <w:r w:rsidRPr="00BB4B6E">
        <w:rPr>
          <w:lang w:eastAsia="sw-KE"/>
        </w:rPr>
        <w:t>ead in kale leave grown using nano-fertilizers at 30, 60 and 90 day</w:t>
      </w:r>
      <w:bookmarkEnd w:id="202"/>
      <w:bookmarkEnd w:id="203"/>
    </w:p>
    <w:tbl>
      <w:tblPr>
        <w:tblW w:w="8506" w:type="dxa"/>
        <w:tblInd w:w="-32" w:type="dxa"/>
        <w:tblCellMar>
          <w:left w:w="0" w:type="dxa"/>
          <w:right w:w="0" w:type="dxa"/>
        </w:tblCellMar>
        <w:tblLook w:val="04A0" w:firstRow="1" w:lastRow="0" w:firstColumn="1" w:lastColumn="0" w:noHBand="0" w:noVBand="1"/>
      </w:tblPr>
      <w:tblGrid>
        <w:gridCol w:w="2700"/>
        <w:gridCol w:w="1800"/>
        <w:gridCol w:w="2096"/>
        <w:gridCol w:w="1504"/>
        <w:gridCol w:w="406"/>
      </w:tblGrid>
      <w:tr w:rsidR="00F934C1" w:rsidRPr="00BB4B6E" w:rsidTr="00FB54EB">
        <w:trPr>
          <w:trHeight w:val="839"/>
        </w:trPr>
        <w:tc>
          <w:tcPr>
            <w:tcW w:w="270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540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b/>
                <w:bCs/>
                <w:color w:val="000000" w:themeColor="text1"/>
                <w:kern w:val="24"/>
              </w:rPr>
            </w:pPr>
            <w:r w:rsidRPr="00BB4B6E">
              <w:rPr>
                <w:b/>
                <w:bCs/>
                <w:color w:val="000000" w:themeColor="text1"/>
                <w:kern w:val="24"/>
              </w:rPr>
              <w:t>[Pb]</w:t>
            </w:r>
          </w:p>
          <w:p w:rsidR="00F934C1" w:rsidRPr="00BB4B6E" w:rsidRDefault="00F934C1" w:rsidP="00F934C1">
            <w:pPr>
              <w:autoSpaceDE/>
              <w:autoSpaceDN/>
              <w:adjustRightInd/>
              <w:spacing w:line="240" w:lineRule="auto"/>
              <w:jc w:val="center"/>
              <w:rPr>
                <w:color w:val="000000" w:themeColor="text1"/>
              </w:rPr>
            </w:pPr>
            <w:r w:rsidRPr="00BB4B6E">
              <w:rPr>
                <w:b/>
                <w:color w:val="000000"/>
              </w:rPr>
              <w:t>Mean ± SD</w:t>
            </w:r>
            <w:r w:rsidRPr="00BB4B6E">
              <w:rPr>
                <w:b/>
                <w:bCs/>
                <w:color w:val="000000" w:themeColor="text1"/>
                <w:kern w:val="24"/>
              </w:rPr>
              <w:t>(µgg</w:t>
            </w:r>
            <w:r w:rsidRPr="00BB4B6E">
              <w:rPr>
                <w:b/>
                <w:bCs/>
                <w:color w:val="000000" w:themeColor="text1"/>
                <w:kern w:val="24"/>
                <w:position w:val="7"/>
                <w:vertAlign w:val="superscript"/>
              </w:rPr>
              <w:t>-1</w:t>
            </w:r>
            <w:r w:rsidRPr="00BB4B6E">
              <w:rPr>
                <w:b/>
                <w:bCs/>
                <w:color w:val="000000" w:themeColor="text1"/>
                <w:kern w:val="24"/>
              </w:rPr>
              <w:t xml:space="preserve">) </w:t>
            </w:r>
          </w:p>
          <w:p w:rsidR="00F934C1" w:rsidRPr="00BB4B6E" w:rsidRDefault="00F934C1" w:rsidP="00F934C1">
            <w:pPr>
              <w:autoSpaceDE/>
              <w:autoSpaceDN/>
              <w:adjustRightInd/>
              <w:spacing w:line="276" w:lineRule="auto"/>
              <w:ind w:left="187"/>
              <w:jc w:val="center"/>
            </w:pPr>
            <w:r w:rsidRPr="00BB4B6E">
              <w:rPr>
                <w:b/>
                <w:bCs/>
                <w:color w:val="000000" w:themeColor="text1"/>
                <w:kern w:val="24"/>
              </w:rPr>
              <w:t>n=9</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70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80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30 days</w:t>
            </w:r>
          </w:p>
        </w:tc>
        <w:tc>
          <w:tcPr>
            <w:tcW w:w="209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60 days</w:t>
            </w:r>
          </w:p>
        </w:tc>
        <w:tc>
          <w:tcPr>
            <w:tcW w:w="1504"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90 days</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B54EB">
        <w:trPr>
          <w:cantSplit/>
          <w:trHeight w:val="434"/>
        </w:trPr>
        <w:tc>
          <w:tcPr>
            <w:tcW w:w="270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spacing w:after="0" w:line="480" w:lineRule="auto"/>
              <w:rPr>
                <w:b w:val="0"/>
                <w:color w:val="auto"/>
                <w:sz w:val="24"/>
                <w:szCs w:val="24"/>
              </w:rPr>
            </w:pPr>
            <w:r w:rsidRPr="00BB4B6E">
              <w:rPr>
                <w:b w:val="0"/>
                <w:color w:val="auto"/>
                <w:sz w:val="24"/>
                <w:szCs w:val="24"/>
              </w:rPr>
              <w:t xml:space="preserve">Bone nHA </w:t>
            </w:r>
          </w:p>
        </w:tc>
        <w:tc>
          <w:tcPr>
            <w:tcW w:w="18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spacing w:after="0" w:line="480" w:lineRule="auto"/>
              <w:rPr>
                <w:b w:val="0"/>
                <w:color w:val="auto"/>
                <w:sz w:val="24"/>
                <w:szCs w:val="24"/>
              </w:rPr>
            </w:pPr>
            <w:r w:rsidRPr="00BB4B6E">
              <w:rPr>
                <w:b w:val="0"/>
                <w:color w:val="auto"/>
                <w:sz w:val="24"/>
                <w:szCs w:val="24"/>
              </w:rPr>
              <w:t>33.54±1.07</w:t>
            </w:r>
            <w:r w:rsidRPr="00BB4B6E">
              <w:rPr>
                <w:b w:val="0"/>
                <w:color w:val="auto"/>
                <w:sz w:val="24"/>
                <w:szCs w:val="24"/>
                <w:vertAlign w:val="superscript"/>
              </w:rPr>
              <w:t xml:space="preserve">aC </w:t>
            </w:r>
          </w:p>
        </w:tc>
        <w:tc>
          <w:tcPr>
            <w:tcW w:w="2096"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spacing w:after="0" w:line="480" w:lineRule="auto"/>
              <w:rPr>
                <w:b w:val="0"/>
                <w:color w:val="auto"/>
                <w:sz w:val="24"/>
                <w:szCs w:val="24"/>
              </w:rPr>
            </w:pPr>
            <w:r w:rsidRPr="00BB4B6E">
              <w:rPr>
                <w:b w:val="0"/>
                <w:color w:val="auto"/>
                <w:sz w:val="24"/>
                <w:szCs w:val="24"/>
              </w:rPr>
              <w:t>11.69±0.59</w:t>
            </w:r>
            <w:r w:rsidRPr="00BB4B6E">
              <w:rPr>
                <w:b w:val="0"/>
                <w:color w:val="auto"/>
                <w:sz w:val="24"/>
                <w:szCs w:val="24"/>
                <w:vertAlign w:val="superscript"/>
              </w:rPr>
              <w:t>aB</w:t>
            </w:r>
          </w:p>
        </w:tc>
        <w:tc>
          <w:tcPr>
            <w:tcW w:w="1504"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spacing w:after="0" w:line="480" w:lineRule="auto"/>
              <w:rPr>
                <w:b w:val="0"/>
                <w:color w:val="auto"/>
                <w:sz w:val="24"/>
                <w:szCs w:val="24"/>
              </w:rPr>
            </w:pPr>
            <w:r w:rsidRPr="00BB4B6E">
              <w:rPr>
                <w:b w:val="0"/>
                <w:color w:val="auto"/>
                <w:sz w:val="24"/>
                <w:szCs w:val="24"/>
              </w:rPr>
              <w:t>2.74±0.29</w:t>
            </w:r>
            <w:r w:rsidRPr="00BB4B6E">
              <w:rPr>
                <w:b w:val="0"/>
                <w:color w:val="auto"/>
                <w:sz w:val="24"/>
                <w:szCs w:val="24"/>
                <w:vertAlign w:val="superscript"/>
              </w:rPr>
              <w:t>aA</w:t>
            </w:r>
          </w:p>
        </w:tc>
        <w:tc>
          <w:tcPr>
            <w:tcW w:w="406"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pPr>
            <w:r w:rsidRPr="00BB4B6E">
              <w:t xml:space="preserve">Syn nHA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38.42±1.83</w:t>
            </w:r>
            <w:r w:rsidRPr="00BB4B6E">
              <w:rPr>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15.66±0.49</w:t>
            </w:r>
            <w:r w:rsidRPr="00BB4B6E">
              <w:rPr>
                <w:vertAlign w:val="superscript"/>
              </w:rPr>
              <w:t>bB</w:t>
            </w:r>
          </w:p>
        </w:tc>
        <w:tc>
          <w:tcPr>
            <w:tcW w:w="150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3.99±0.72</w:t>
            </w:r>
            <w:r w:rsidRPr="00BB4B6E">
              <w:rPr>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pPr>
            <w:r w:rsidRPr="00BB4B6E">
              <w:t xml:space="preserve">Bone nHA +DAP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38.21±0.70</w:t>
            </w:r>
            <w:r w:rsidRPr="00BB4B6E">
              <w:rPr>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15.21±3.15</w:t>
            </w:r>
            <w:r w:rsidRPr="00BB4B6E">
              <w:rPr>
                <w:vertAlign w:val="superscript"/>
              </w:rPr>
              <w:t>bB</w:t>
            </w:r>
          </w:p>
        </w:tc>
        <w:tc>
          <w:tcPr>
            <w:tcW w:w="150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5.18±1.13</w:t>
            </w:r>
            <w:r w:rsidRPr="00BB4B6E">
              <w:rPr>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pPr>
            <w:r w:rsidRPr="00BB4B6E">
              <w:t xml:space="preserve">Syn nHA +DAP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40.07±1.47</w:t>
            </w:r>
            <w:r w:rsidRPr="00BB4B6E">
              <w:rPr>
                <w:vertAlign w:val="superscript"/>
              </w:rPr>
              <w:t>cC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16.95±0.83</w:t>
            </w:r>
            <w:r w:rsidRPr="00BB4B6E">
              <w:rPr>
                <w:vertAlign w:val="superscript"/>
              </w:rPr>
              <w:t>bB</w:t>
            </w:r>
          </w:p>
        </w:tc>
        <w:tc>
          <w:tcPr>
            <w:tcW w:w="150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4.61±1.62</w:t>
            </w:r>
            <w:r w:rsidRPr="00BB4B6E">
              <w:rPr>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t xml:space="preserve">Bone nHA+ 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t>39.34±0.94</w:t>
            </w:r>
            <w:r w:rsidRPr="00BB4B6E">
              <w:rPr>
                <w:vertAlign w:val="superscript"/>
              </w:rPr>
              <w:t>bC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t>16.29±0.50</w:t>
            </w:r>
            <w:r w:rsidRPr="00BB4B6E">
              <w:rPr>
                <w:vertAlign w:val="superscript"/>
              </w:rPr>
              <w:t>bB</w:t>
            </w:r>
          </w:p>
        </w:tc>
        <w:tc>
          <w:tcPr>
            <w:tcW w:w="150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t>3.91±1.92</w:t>
            </w:r>
            <w:r w:rsidRPr="00BB4B6E">
              <w:rPr>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pPr>
            <w:r w:rsidRPr="00BB4B6E">
              <w:t xml:space="preserve">Syn nHA+ 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42.44±1.13</w:t>
            </w:r>
            <w:r w:rsidRPr="00BB4B6E">
              <w:rPr>
                <w:vertAlign w:val="superscript"/>
              </w:rPr>
              <w:t>dC</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18.40±1.88</w:t>
            </w:r>
            <w:r w:rsidRPr="00BB4B6E">
              <w:rPr>
                <w:vertAlign w:val="superscript"/>
              </w:rPr>
              <w:t>cB</w:t>
            </w:r>
          </w:p>
        </w:tc>
        <w:tc>
          <w:tcPr>
            <w:tcW w:w="150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5.16±1.64</w:t>
            </w:r>
            <w:r w:rsidRPr="00BB4B6E">
              <w:rPr>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pPr>
            <w:r w:rsidRPr="00BB4B6E">
              <w:t xml:space="preserve">Bone nHA+DAP+NPK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38.64±2.11</w:t>
            </w:r>
            <w:r w:rsidRPr="00BB4B6E">
              <w:rPr>
                <w:vertAlign w:val="superscript"/>
              </w:rPr>
              <w:t>bd</w:t>
            </w:r>
          </w:p>
        </w:tc>
        <w:tc>
          <w:tcPr>
            <w:tcW w:w="2096"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15.15±1.32</w:t>
            </w:r>
            <w:r w:rsidRPr="00BB4B6E">
              <w:rPr>
                <w:vertAlign w:val="superscript"/>
              </w:rPr>
              <w:t>bB</w:t>
            </w:r>
          </w:p>
        </w:tc>
        <w:tc>
          <w:tcPr>
            <w:tcW w:w="1504"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3.57±3.58</w:t>
            </w:r>
            <w:r w:rsidRPr="00BB4B6E">
              <w:rPr>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pPr>
            <w:r w:rsidRPr="00BB4B6E">
              <w:t xml:space="preserve">Syn nHA+DAP+NPK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jc w:val="left"/>
            </w:pPr>
            <w:r w:rsidRPr="00BB4B6E">
              <w:t>42.38±1.73</w:t>
            </w:r>
            <w:r w:rsidRPr="00BB4B6E">
              <w:rPr>
                <w:vertAlign w:val="superscript"/>
              </w:rPr>
              <w:t>dC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jc w:val="left"/>
            </w:pPr>
            <w:r w:rsidRPr="00BB4B6E">
              <w:t>18.15±0.77</w:t>
            </w:r>
            <w:r w:rsidRPr="00BB4B6E">
              <w:rPr>
                <w:vertAlign w:val="superscript"/>
              </w:rPr>
              <w:t>cB</w:t>
            </w:r>
          </w:p>
        </w:tc>
        <w:tc>
          <w:tcPr>
            <w:tcW w:w="150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jc w:val="left"/>
            </w:pPr>
            <w:r w:rsidRPr="00BB4B6E">
              <w:t>5.42±0.30</w:t>
            </w:r>
            <w:r w:rsidRPr="00BB4B6E">
              <w:rPr>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pPr>
            <w:r w:rsidRPr="00BB4B6E">
              <w:t xml:space="preserve">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jc w:val="left"/>
            </w:pPr>
            <w:r w:rsidRPr="00BB4B6E">
              <w:t>69.46±1.13</w:t>
            </w:r>
            <w:r w:rsidRPr="00BB4B6E">
              <w:rPr>
                <w:vertAlign w:val="superscript"/>
              </w:rPr>
              <w:t>gC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jc w:val="left"/>
            </w:pPr>
            <w:r w:rsidRPr="00BB4B6E">
              <w:t>52.88±0.94</w:t>
            </w:r>
            <w:r w:rsidRPr="00BB4B6E">
              <w:rPr>
                <w:vertAlign w:val="superscript"/>
              </w:rPr>
              <w:t>fB</w:t>
            </w:r>
          </w:p>
        </w:tc>
        <w:tc>
          <w:tcPr>
            <w:tcW w:w="150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jc w:val="left"/>
            </w:pPr>
            <w:r w:rsidRPr="00BB4B6E">
              <w:t>38.66±1.79</w:t>
            </w:r>
            <w:r w:rsidRPr="00BB4B6E">
              <w:rPr>
                <w:vertAlign w:val="superscript"/>
              </w:rPr>
              <w:t>eA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B54EB">
        <w:trPr>
          <w:cantSplit/>
          <w:trHeight w:val="472"/>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t xml:space="preserve">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69.31±2.15</w:t>
            </w:r>
            <w:r w:rsidRPr="00BB4B6E">
              <w:rPr>
                <w:vertAlign w:val="superscript"/>
              </w:rPr>
              <w:t>gC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52.76±1.79</w:t>
            </w:r>
            <w:r w:rsidRPr="00BB4B6E">
              <w:rPr>
                <w:vertAlign w:val="superscript"/>
              </w:rPr>
              <w:t>fB</w:t>
            </w:r>
          </w:p>
        </w:tc>
        <w:tc>
          <w:tcPr>
            <w:tcW w:w="150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37.38±1.58</w:t>
            </w:r>
            <w:r w:rsidRPr="00BB4B6E">
              <w:rPr>
                <w:vertAlign w:val="superscript"/>
              </w:rPr>
              <w:t>eA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t xml:space="preserve">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56.33±0.05</w:t>
            </w:r>
            <w:r w:rsidRPr="00BB4B6E">
              <w:rPr>
                <w:vertAlign w:val="superscript"/>
              </w:rPr>
              <w:t>fC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41.95±4.21</w:t>
            </w:r>
            <w:r w:rsidRPr="00BB4B6E">
              <w:rPr>
                <w:vertAlign w:val="superscript"/>
              </w:rPr>
              <w:t>eB</w:t>
            </w:r>
          </w:p>
        </w:tc>
        <w:tc>
          <w:tcPr>
            <w:tcW w:w="150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37.62±2.87</w:t>
            </w:r>
            <w:r w:rsidRPr="00BB4B6E">
              <w:rPr>
                <w:vertAlign w:val="superscript"/>
              </w:rPr>
              <w:t>eA</w:t>
            </w:r>
          </w:p>
        </w:tc>
        <w:tc>
          <w:tcPr>
            <w:tcW w:w="406"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70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t xml:space="preserve">Non-treated control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48.37±1.15</w:t>
            </w:r>
            <w:r w:rsidRPr="00BB4B6E">
              <w:rPr>
                <w:vertAlign w:val="superscript"/>
              </w:rPr>
              <w:t>eC</w:t>
            </w:r>
          </w:p>
        </w:tc>
        <w:tc>
          <w:tcPr>
            <w:tcW w:w="2096"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36.93±0.76</w:t>
            </w:r>
            <w:r w:rsidRPr="00BB4B6E">
              <w:rPr>
                <w:vertAlign w:val="superscript"/>
              </w:rPr>
              <w:t>dB</w:t>
            </w:r>
          </w:p>
        </w:tc>
        <w:tc>
          <w:tcPr>
            <w:tcW w:w="1504"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30.15±0.87</w:t>
            </w:r>
            <w:r w:rsidRPr="00BB4B6E">
              <w:rPr>
                <w:vertAlign w:val="superscript"/>
              </w:rPr>
              <w:t>dA</w:t>
            </w:r>
          </w:p>
        </w:tc>
        <w:tc>
          <w:tcPr>
            <w:tcW w:w="406"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B54EB">
        <w:trPr>
          <w:trHeight w:val="400"/>
        </w:trPr>
        <w:tc>
          <w:tcPr>
            <w:tcW w:w="270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spacing w:after="0"/>
              <w:jc w:val="center"/>
              <w:rPr>
                <w:b w:val="0"/>
                <w:color w:val="auto"/>
                <w:sz w:val="24"/>
                <w:szCs w:val="24"/>
              </w:rPr>
            </w:pPr>
          </w:p>
        </w:tc>
        <w:tc>
          <w:tcPr>
            <w:tcW w:w="180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2096"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P-value˂0.01</w:t>
            </w:r>
          </w:p>
        </w:tc>
        <w:tc>
          <w:tcPr>
            <w:tcW w:w="1504"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p>
        </w:tc>
        <w:tc>
          <w:tcPr>
            <w:tcW w:w="406"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B54EB">
      <w:pPr>
        <w:autoSpaceDE/>
        <w:autoSpaceDN/>
        <w:adjustRightInd/>
        <w:spacing w:line="240" w:lineRule="auto"/>
        <w:jc w:val="left"/>
        <w:rPr>
          <w:bCs/>
          <w:color w:val="000000" w:themeColor="text1"/>
          <w:lang w:eastAsia="sw-KE"/>
        </w:rPr>
      </w:pPr>
      <w:r w:rsidRPr="00BB4B6E">
        <w:rPr>
          <w:color w:val="000000" w:themeColor="text1"/>
          <w:lang w:eastAsia="sw-KE"/>
        </w:rPr>
        <w:t>Means ± SD superscripted with similar small letters within the same column and similar capital letters within the same row are not significantly different at p =0.05 (Anova).</w:t>
      </w:r>
      <w:r w:rsidRPr="00BB4B6E">
        <w:rPr>
          <w:color w:val="000000" w:themeColor="text1"/>
          <w:lang w:eastAsia="sw-KE"/>
        </w:rPr>
        <w:br w:type="page"/>
      </w:r>
    </w:p>
    <w:p w:rsidR="00F934C1" w:rsidRPr="00BB4B6E" w:rsidRDefault="00F934C1" w:rsidP="00F934C1">
      <w:pPr>
        <w:pStyle w:val="Heading4"/>
      </w:pPr>
      <w:bookmarkStart w:id="204" w:name="_Toc120047575"/>
      <w:bookmarkStart w:id="205" w:name="_Toc144222339"/>
      <w:r w:rsidRPr="00BB4B6E">
        <w:lastRenderedPageBreak/>
        <w:t xml:space="preserve">Table 4.8: </w:t>
      </w:r>
      <w:r>
        <w:rPr>
          <w:lang w:eastAsia="sw-KE"/>
        </w:rPr>
        <w:t>Levels of l</w:t>
      </w:r>
      <w:r w:rsidRPr="00BB4B6E">
        <w:rPr>
          <w:lang w:eastAsia="sw-KE"/>
        </w:rPr>
        <w:t>ead in spinach leaves grown using nano-fertilizers at 30, 60 and 90 day</w:t>
      </w:r>
      <w:bookmarkEnd w:id="204"/>
      <w:bookmarkEnd w:id="205"/>
    </w:p>
    <w:tbl>
      <w:tblPr>
        <w:tblW w:w="8146" w:type="dxa"/>
        <w:tblInd w:w="58" w:type="dxa"/>
        <w:tblCellMar>
          <w:left w:w="0" w:type="dxa"/>
          <w:right w:w="0" w:type="dxa"/>
        </w:tblCellMar>
        <w:tblLook w:val="04A0" w:firstRow="1" w:lastRow="0" w:firstColumn="1" w:lastColumn="0" w:noHBand="0" w:noVBand="1"/>
      </w:tblPr>
      <w:tblGrid>
        <w:gridCol w:w="2760"/>
        <w:gridCol w:w="1830"/>
        <w:gridCol w:w="1530"/>
        <w:gridCol w:w="1620"/>
        <w:gridCol w:w="406"/>
      </w:tblGrid>
      <w:tr w:rsidR="00F934C1" w:rsidRPr="00BB4B6E" w:rsidTr="00F934C1">
        <w:trPr>
          <w:trHeight w:val="800"/>
        </w:trPr>
        <w:tc>
          <w:tcPr>
            <w:tcW w:w="276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498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b/>
                <w:bCs/>
                <w:color w:val="000000" w:themeColor="text1"/>
                <w:kern w:val="24"/>
              </w:rPr>
            </w:pPr>
            <w:r w:rsidRPr="00BB4B6E">
              <w:rPr>
                <w:b/>
                <w:bCs/>
                <w:color w:val="000000" w:themeColor="text1"/>
                <w:kern w:val="24"/>
              </w:rPr>
              <w:t>[Pb]</w:t>
            </w:r>
          </w:p>
          <w:p w:rsidR="00F934C1" w:rsidRPr="00BB4B6E" w:rsidRDefault="00F934C1" w:rsidP="00F934C1">
            <w:pPr>
              <w:autoSpaceDE/>
              <w:autoSpaceDN/>
              <w:adjustRightInd/>
              <w:spacing w:line="240" w:lineRule="auto"/>
              <w:jc w:val="center"/>
              <w:rPr>
                <w:color w:val="000000" w:themeColor="text1"/>
              </w:rPr>
            </w:pPr>
            <w:r w:rsidRPr="00BB4B6E">
              <w:rPr>
                <w:b/>
                <w:color w:val="000000"/>
              </w:rPr>
              <w:t>Mean ± SD</w:t>
            </w:r>
            <w:r w:rsidRPr="00BB4B6E">
              <w:rPr>
                <w:b/>
                <w:bCs/>
                <w:color w:val="000000" w:themeColor="text1"/>
                <w:kern w:val="24"/>
              </w:rPr>
              <w:t>(µgg</w:t>
            </w:r>
            <w:r w:rsidRPr="00BB4B6E">
              <w:rPr>
                <w:b/>
                <w:bCs/>
                <w:color w:val="000000" w:themeColor="text1"/>
                <w:kern w:val="24"/>
                <w:position w:val="7"/>
                <w:vertAlign w:val="superscript"/>
              </w:rPr>
              <w:t>-1</w:t>
            </w:r>
            <w:r w:rsidRPr="00BB4B6E">
              <w:rPr>
                <w:b/>
                <w:bCs/>
                <w:color w:val="000000" w:themeColor="text1"/>
                <w:kern w:val="24"/>
              </w:rPr>
              <w:t xml:space="preserve">) </w:t>
            </w:r>
          </w:p>
          <w:p w:rsidR="00F934C1" w:rsidRPr="00BB4B6E" w:rsidRDefault="00F934C1" w:rsidP="00F934C1">
            <w:pPr>
              <w:autoSpaceDE/>
              <w:autoSpaceDN/>
              <w:adjustRightInd/>
              <w:spacing w:line="276" w:lineRule="auto"/>
              <w:ind w:left="187"/>
              <w:jc w:val="center"/>
            </w:pPr>
            <w:r w:rsidRPr="00BB4B6E">
              <w:rPr>
                <w:b/>
                <w:bCs/>
                <w:color w:val="000000" w:themeColor="text1"/>
                <w:kern w:val="24"/>
              </w:rPr>
              <w:t>n=9</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76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83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30 days</w:t>
            </w:r>
          </w:p>
        </w:tc>
        <w:tc>
          <w:tcPr>
            <w:tcW w:w="153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60 days</w:t>
            </w:r>
          </w:p>
        </w:tc>
        <w:tc>
          <w:tcPr>
            <w:tcW w:w="162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90 days</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76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Bone nHA </w:t>
            </w:r>
          </w:p>
        </w:tc>
        <w:tc>
          <w:tcPr>
            <w:tcW w:w="183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39.02±1.48</w:t>
            </w:r>
            <w:r w:rsidRPr="00BB4B6E">
              <w:rPr>
                <w:b w:val="0"/>
                <w:color w:val="auto"/>
                <w:sz w:val="24"/>
                <w:szCs w:val="24"/>
                <w:vertAlign w:val="superscript"/>
              </w:rPr>
              <w:t>aC</w:t>
            </w:r>
          </w:p>
        </w:tc>
        <w:tc>
          <w:tcPr>
            <w:tcW w:w="153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20.55±0.93</w:t>
            </w:r>
            <w:r w:rsidRPr="00BB4B6E">
              <w:rPr>
                <w:b w:val="0"/>
                <w:color w:val="auto"/>
                <w:sz w:val="24"/>
                <w:szCs w:val="24"/>
                <w:vertAlign w:val="superscript"/>
              </w:rPr>
              <w:t>aB</w:t>
            </w:r>
          </w:p>
        </w:tc>
        <w:tc>
          <w:tcPr>
            <w:tcW w:w="162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3.53±0.97</w:t>
            </w:r>
            <w:r w:rsidRPr="00BB4B6E">
              <w:rPr>
                <w:b w:val="0"/>
                <w:color w:val="auto"/>
                <w:sz w:val="24"/>
                <w:szCs w:val="24"/>
                <w:vertAlign w:val="superscript"/>
              </w:rPr>
              <w:t>aA</w:t>
            </w:r>
          </w:p>
        </w:tc>
        <w:tc>
          <w:tcPr>
            <w:tcW w:w="406"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w:t>
            </w:r>
          </w:p>
        </w:tc>
        <w:tc>
          <w:tcPr>
            <w:tcW w:w="18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49.11±2.53</w:t>
            </w:r>
            <w:r w:rsidRPr="00BB4B6E">
              <w:rPr>
                <w:b w:val="0"/>
                <w:color w:val="auto"/>
                <w:sz w:val="24"/>
                <w:szCs w:val="24"/>
                <w:vertAlign w:val="superscript"/>
              </w:rPr>
              <w:t>bC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23.29±0.47</w:t>
            </w:r>
            <w:r w:rsidRPr="00BB4B6E">
              <w:rPr>
                <w:b w:val="0"/>
                <w:color w:val="auto"/>
                <w:sz w:val="24"/>
                <w:szCs w:val="24"/>
                <w:vertAlign w:val="superscript"/>
              </w:rPr>
              <w:t>bB</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5.91±0.43</w:t>
            </w:r>
            <w:r w:rsidRPr="00BB4B6E">
              <w:rPr>
                <w:b w:val="0"/>
                <w:color w:val="auto"/>
                <w:sz w:val="24"/>
                <w:szCs w:val="24"/>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 +DAP </w:t>
            </w:r>
          </w:p>
        </w:tc>
        <w:tc>
          <w:tcPr>
            <w:tcW w:w="18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45.26±1.75</w:t>
            </w:r>
            <w:r w:rsidRPr="00BB4B6E">
              <w:rPr>
                <w:b w:val="0"/>
                <w:color w:val="auto"/>
                <w:sz w:val="24"/>
                <w:szCs w:val="24"/>
                <w:vertAlign w:val="superscript"/>
              </w:rPr>
              <w:t>bC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20.65±1.11</w:t>
            </w:r>
            <w:r w:rsidRPr="00BB4B6E">
              <w:rPr>
                <w:b w:val="0"/>
                <w:color w:val="auto"/>
                <w:sz w:val="24"/>
                <w:szCs w:val="24"/>
                <w:vertAlign w:val="superscript"/>
              </w:rPr>
              <w:t>aB</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6.04±0.86</w:t>
            </w:r>
            <w:r w:rsidRPr="00BB4B6E">
              <w:rPr>
                <w:b w:val="0"/>
                <w:color w:val="auto"/>
                <w:sz w:val="24"/>
                <w:szCs w:val="24"/>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+DAP </w:t>
            </w:r>
          </w:p>
        </w:tc>
        <w:tc>
          <w:tcPr>
            <w:tcW w:w="18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67.06±4.9</w:t>
            </w:r>
            <w:r w:rsidRPr="00BB4B6E">
              <w:rPr>
                <w:b w:val="0"/>
                <w:color w:val="auto"/>
                <w:sz w:val="24"/>
                <w:szCs w:val="24"/>
                <w:vertAlign w:val="superscript"/>
              </w:rPr>
              <w:t>dC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28.32±0.95</w:t>
            </w:r>
            <w:r w:rsidRPr="00BB4B6E">
              <w:rPr>
                <w:b w:val="0"/>
                <w:color w:val="auto"/>
                <w:sz w:val="24"/>
                <w:szCs w:val="24"/>
                <w:vertAlign w:val="superscript"/>
              </w:rPr>
              <w:t>cB</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9.56±0.84</w:t>
            </w:r>
            <w:r w:rsidRPr="00BB4B6E">
              <w:rPr>
                <w:b w:val="0"/>
                <w:color w:val="auto"/>
                <w:sz w:val="24"/>
                <w:szCs w:val="24"/>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 NPK  </w:t>
            </w:r>
          </w:p>
        </w:tc>
        <w:tc>
          <w:tcPr>
            <w:tcW w:w="18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46.42±1.45</w:t>
            </w:r>
            <w:r w:rsidRPr="00BB4B6E">
              <w:rPr>
                <w:b w:val="0"/>
                <w:color w:val="auto"/>
                <w:sz w:val="24"/>
                <w:szCs w:val="24"/>
                <w:vertAlign w:val="superscript"/>
              </w:rPr>
              <w:t>bC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21.31±0.91</w:t>
            </w:r>
            <w:r w:rsidRPr="00BB4B6E">
              <w:rPr>
                <w:b w:val="0"/>
                <w:color w:val="auto"/>
                <w:sz w:val="24"/>
                <w:szCs w:val="24"/>
                <w:vertAlign w:val="superscript"/>
              </w:rPr>
              <w:t>aB</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5.58±0.83</w:t>
            </w:r>
            <w:r w:rsidRPr="00BB4B6E">
              <w:rPr>
                <w:b w:val="0"/>
                <w:color w:val="auto"/>
                <w:sz w:val="24"/>
                <w:szCs w:val="24"/>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NPK  </w:t>
            </w:r>
          </w:p>
        </w:tc>
        <w:tc>
          <w:tcPr>
            <w:tcW w:w="18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63.79±4.77</w:t>
            </w:r>
            <w:r w:rsidRPr="00BB4B6E">
              <w:rPr>
                <w:b w:val="0"/>
                <w:color w:val="auto"/>
                <w:sz w:val="24"/>
                <w:szCs w:val="24"/>
                <w:vertAlign w:val="superscript"/>
              </w:rPr>
              <w:t>cC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28.66±0.96</w:t>
            </w:r>
            <w:r w:rsidRPr="00BB4B6E">
              <w:rPr>
                <w:b w:val="0"/>
                <w:color w:val="auto"/>
                <w:sz w:val="24"/>
                <w:szCs w:val="24"/>
                <w:vertAlign w:val="superscript"/>
              </w:rPr>
              <w:t>cB</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9.78±0.58</w:t>
            </w:r>
            <w:r w:rsidRPr="00BB4B6E">
              <w:rPr>
                <w:b w:val="0"/>
                <w:color w:val="auto"/>
                <w:sz w:val="24"/>
                <w:szCs w:val="24"/>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nHA+DAP+NPK </w:t>
            </w:r>
          </w:p>
        </w:tc>
        <w:tc>
          <w:tcPr>
            <w:tcW w:w="18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48.83±0.79</w:t>
            </w:r>
            <w:r w:rsidRPr="00BB4B6E">
              <w:rPr>
                <w:b w:val="0"/>
                <w:color w:val="auto"/>
                <w:sz w:val="24"/>
                <w:szCs w:val="24"/>
                <w:vertAlign w:val="superscript"/>
              </w:rPr>
              <w:t>bC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23.10±0.51</w:t>
            </w:r>
            <w:r w:rsidRPr="00BB4B6E">
              <w:rPr>
                <w:b w:val="0"/>
                <w:color w:val="auto"/>
                <w:sz w:val="24"/>
                <w:szCs w:val="24"/>
                <w:vertAlign w:val="superscript"/>
              </w:rPr>
              <w:t>bB</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6.42±0.90</w:t>
            </w:r>
            <w:r w:rsidRPr="00BB4B6E">
              <w:rPr>
                <w:b w:val="0"/>
                <w:color w:val="auto"/>
                <w:sz w:val="24"/>
                <w:szCs w:val="24"/>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Syn nHA+DAP+NPK </w:t>
            </w:r>
          </w:p>
        </w:tc>
        <w:tc>
          <w:tcPr>
            <w:tcW w:w="18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69.05±4.23</w:t>
            </w:r>
            <w:r w:rsidRPr="00BB4B6E">
              <w:rPr>
                <w:b w:val="0"/>
                <w:color w:val="auto"/>
                <w:sz w:val="24"/>
                <w:szCs w:val="24"/>
                <w:vertAlign w:val="superscript"/>
              </w:rPr>
              <w:t>dC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25.62±0.83</w:t>
            </w:r>
            <w:r w:rsidRPr="00BB4B6E">
              <w:rPr>
                <w:b w:val="0"/>
                <w:color w:val="auto"/>
                <w:sz w:val="24"/>
                <w:szCs w:val="24"/>
                <w:vertAlign w:val="superscript"/>
              </w:rPr>
              <w:t>bB</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8.97±0.58</w:t>
            </w:r>
            <w:r w:rsidRPr="00BB4B6E">
              <w:rPr>
                <w:b w:val="0"/>
                <w:color w:val="auto"/>
                <w:sz w:val="24"/>
                <w:szCs w:val="24"/>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DAP </w:t>
            </w:r>
          </w:p>
        </w:tc>
        <w:tc>
          <w:tcPr>
            <w:tcW w:w="18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69.15±1.21</w:t>
            </w:r>
            <w:r w:rsidRPr="00BB4B6E">
              <w:rPr>
                <w:b w:val="0"/>
                <w:color w:val="auto"/>
                <w:sz w:val="24"/>
                <w:szCs w:val="24"/>
                <w:vertAlign w:val="superscript"/>
              </w:rPr>
              <w:t>dC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54.88±0.96</w:t>
            </w:r>
            <w:r w:rsidRPr="00BB4B6E">
              <w:rPr>
                <w:b w:val="0"/>
                <w:color w:val="auto"/>
                <w:sz w:val="24"/>
                <w:szCs w:val="24"/>
                <w:vertAlign w:val="superscript"/>
              </w:rPr>
              <w:t>eB</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42.73±0.75</w:t>
            </w:r>
            <w:r w:rsidRPr="00BB4B6E">
              <w:rPr>
                <w:b w:val="0"/>
                <w:color w:val="auto"/>
                <w:sz w:val="24"/>
                <w:szCs w:val="24"/>
                <w:vertAlign w:val="superscript"/>
              </w:rPr>
              <w:t>deA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NPK </w:t>
            </w:r>
          </w:p>
        </w:tc>
        <w:tc>
          <w:tcPr>
            <w:tcW w:w="18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73.84±1.99</w:t>
            </w:r>
            <w:r w:rsidRPr="00BB4B6E">
              <w:rPr>
                <w:b w:val="0"/>
                <w:color w:val="auto"/>
                <w:sz w:val="24"/>
                <w:szCs w:val="24"/>
                <w:vertAlign w:val="superscript"/>
              </w:rPr>
              <w:t>eC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60.04±1.62</w:t>
            </w:r>
            <w:r w:rsidRPr="00BB4B6E">
              <w:rPr>
                <w:b w:val="0"/>
                <w:color w:val="auto"/>
                <w:sz w:val="24"/>
                <w:szCs w:val="24"/>
                <w:vertAlign w:val="superscript"/>
              </w:rPr>
              <w:t>fB</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44.62±1.16</w:t>
            </w:r>
            <w:r w:rsidRPr="00BB4B6E">
              <w:rPr>
                <w:b w:val="0"/>
                <w:color w:val="auto"/>
                <w:sz w:val="24"/>
                <w:szCs w:val="24"/>
                <w:vertAlign w:val="superscript"/>
              </w:rPr>
              <w:t>eA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DAP+NPK </w:t>
            </w:r>
          </w:p>
        </w:tc>
        <w:tc>
          <w:tcPr>
            <w:tcW w:w="18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63.38±1.29</w:t>
            </w:r>
            <w:r w:rsidRPr="00BB4B6E">
              <w:rPr>
                <w:b w:val="0"/>
                <w:color w:val="auto"/>
                <w:sz w:val="24"/>
                <w:szCs w:val="24"/>
                <w:vertAlign w:val="superscript"/>
              </w:rPr>
              <w:t>cC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51.86±1.18</w:t>
            </w:r>
            <w:r w:rsidRPr="00BB4B6E">
              <w:rPr>
                <w:b w:val="0"/>
                <w:color w:val="auto"/>
                <w:sz w:val="24"/>
                <w:szCs w:val="24"/>
                <w:vertAlign w:val="superscript"/>
              </w:rPr>
              <w:t>dB</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39.89±0.91</w:t>
            </w:r>
            <w:r w:rsidRPr="00BB4B6E">
              <w:rPr>
                <w:b w:val="0"/>
                <w:color w:val="auto"/>
                <w:sz w:val="24"/>
                <w:szCs w:val="24"/>
                <w:vertAlign w:val="superscript"/>
              </w:rPr>
              <w:t>dA</w:t>
            </w:r>
          </w:p>
        </w:tc>
        <w:tc>
          <w:tcPr>
            <w:tcW w:w="406"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Non-treated control </w:t>
            </w:r>
          </w:p>
        </w:tc>
        <w:tc>
          <w:tcPr>
            <w:tcW w:w="18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70.43±1.95</w:t>
            </w:r>
            <w:r w:rsidRPr="00BB4B6E">
              <w:rPr>
                <w:b w:val="0"/>
                <w:color w:val="auto"/>
                <w:sz w:val="24"/>
                <w:szCs w:val="24"/>
                <w:vertAlign w:val="superscript"/>
              </w:rPr>
              <w:t>eC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51.18±1.50</w:t>
            </w:r>
            <w:r w:rsidRPr="00BB4B6E">
              <w:rPr>
                <w:b w:val="0"/>
                <w:color w:val="auto"/>
                <w:sz w:val="24"/>
                <w:szCs w:val="24"/>
                <w:vertAlign w:val="superscript"/>
              </w:rPr>
              <w:t>dB</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39.57±1.02</w:t>
            </w:r>
            <w:r w:rsidRPr="00BB4B6E">
              <w:rPr>
                <w:b w:val="0"/>
                <w:color w:val="auto"/>
                <w:sz w:val="24"/>
                <w:szCs w:val="24"/>
                <w:vertAlign w:val="superscript"/>
              </w:rPr>
              <w:t>dA</w:t>
            </w:r>
          </w:p>
        </w:tc>
        <w:tc>
          <w:tcPr>
            <w:tcW w:w="406"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76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83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53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P-value ˂0.01</w:t>
            </w:r>
          </w:p>
        </w:tc>
        <w:tc>
          <w:tcPr>
            <w:tcW w:w="162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406"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934C1">
      <w:pPr>
        <w:pStyle w:val="Caption"/>
        <w:rPr>
          <w:b w:val="0"/>
          <w:color w:val="000000" w:themeColor="text1"/>
          <w:sz w:val="24"/>
          <w:szCs w:val="24"/>
        </w:rPr>
      </w:pPr>
      <w:r w:rsidRPr="00BB4B6E">
        <w:rPr>
          <w:b w:val="0"/>
          <w:color w:val="000000" w:themeColor="text1"/>
          <w:sz w:val="24"/>
          <w:szCs w:val="24"/>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bookmarkStart w:id="206" w:name="_Toc112877974"/>
      <w:bookmarkStart w:id="207" w:name="_Toc112880605"/>
    </w:p>
    <w:p w:rsidR="00F934C1" w:rsidRPr="00BB4B6E" w:rsidRDefault="00F934C1" w:rsidP="00F934C1"/>
    <w:p w:rsidR="00F934C1" w:rsidRPr="00BB4B6E" w:rsidRDefault="00F934C1" w:rsidP="00F934C1">
      <w:pPr>
        <w:autoSpaceDE/>
        <w:autoSpaceDN/>
        <w:adjustRightInd/>
        <w:spacing w:after="200" w:line="276" w:lineRule="auto"/>
        <w:jc w:val="left"/>
        <w:rPr>
          <w:b/>
          <w:bCs/>
        </w:rPr>
      </w:pPr>
      <w:r w:rsidRPr="00BB4B6E">
        <w:br w:type="page"/>
      </w:r>
    </w:p>
    <w:p w:rsidR="00F934C1" w:rsidRPr="00BB4B6E" w:rsidRDefault="00F934C1" w:rsidP="00F934C1">
      <w:pPr>
        <w:pStyle w:val="Heading4"/>
        <w:rPr>
          <w:lang w:val="sw-KE" w:eastAsia="sw-KE"/>
        </w:rPr>
      </w:pPr>
      <w:bookmarkStart w:id="208" w:name="_Toc120047576"/>
      <w:bookmarkStart w:id="209" w:name="_Toc144222340"/>
      <w:r w:rsidRPr="00BB4B6E">
        <w:lastRenderedPageBreak/>
        <w:t>Table 4.9:</w:t>
      </w:r>
      <w:r>
        <w:rPr>
          <w:lang w:eastAsia="sw-KE"/>
        </w:rPr>
        <w:t xml:space="preserve"> Levels of l</w:t>
      </w:r>
      <w:r w:rsidRPr="00BB4B6E">
        <w:rPr>
          <w:lang w:eastAsia="sw-KE"/>
        </w:rPr>
        <w:t>ead in bean leaves grown using nano-fertilizers at 30, 60 and 90 day</w:t>
      </w:r>
      <w:bookmarkEnd w:id="206"/>
      <w:bookmarkEnd w:id="207"/>
      <w:bookmarkEnd w:id="208"/>
      <w:bookmarkEnd w:id="209"/>
    </w:p>
    <w:tbl>
      <w:tblPr>
        <w:tblW w:w="7876" w:type="dxa"/>
        <w:tblInd w:w="58" w:type="dxa"/>
        <w:tblCellMar>
          <w:left w:w="0" w:type="dxa"/>
          <w:right w:w="0" w:type="dxa"/>
        </w:tblCellMar>
        <w:tblLook w:val="04A0" w:firstRow="1" w:lastRow="0" w:firstColumn="1" w:lastColumn="0" w:noHBand="0" w:noVBand="1"/>
      </w:tblPr>
      <w:tblGrid>
        <w:gridCol w:w="2760"/>
        <w:gridCol w:w="1650"/>
        <w:gridCol w:w="1530"/>
        <w:gridCol w:w="1530"/>
        <w:gridCol w:w="406"/>
      </w:tblGrid>
      <w:tr w:rsidR="00F934C1" w:rsidRPr="00BB4B6E" w:rsidTr="00F934C1">
        <w:trPr>
          <w:trHeight w:val="800"/>
        </w:trPr>
        <w:tc>
          <w:tcPr>
            <w:tcW w:w="276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471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b/>
                <w:bCs/>
                <w:color w:val="000000" w:themeColor="text1"/>
                <w:kern w:val="24"/>
              </w:rPr>
            </w:pPr>
            <w:r w:rsidRPr="00BB4B6E">
              <w:rPr>
                <w:b/>
                <w:bCs/>
                <w:color w:val="000000" w:themeColor="text1"/>
                <w:kern w:val="24"/>
              </w:rPr>
              <w:t>[Pb]</w:t>
            </w:r>
          </w:p>
          <w:p w:rsidR="00F934C1" w:rsidRPr="00BB4B6E" w:rsidRDefault="00F934C1" w:rsidP="00F934C1">
            <w:pPr>
              <w:autoSpaceDE/>
              <w:autoSpaceDN/>
              <w:adjustRightInd/>
              <w:spacing w:line="240" w:lineRule="auto"/>
              <w:jc w:val="center"/>
              <w:rPr>
                <w:color w:val="000000" w:themeColor="text1"/>
              </w:rPr>
            </w:pPr>
            <w:r w:rsidRPr="00BB4B6E">
              <w:rPr>
                <w:b/>
                <w:color w:val="000000"/>
              </w:rPr>
              <w:t>Mean ± SD</w:t>
            </w:r>
            <w:r w:rsidRPr="00BB4B6E">
              <w:rPr>
                <w:b/>
                <w:bCs/>
                <w:color w:val="000000" w:themeColor="text1"/>
                <w:kern w:val="24"/>
              </w:rPr>
              <w:t>(µgg</w:t>
            </w:r>
            <w:r w:rsidRPr="00BB4B6E">
              <w:rPr>
                <w:b/>
                <w:bCs/>
                <w:color w:val="000000" w:themeColor="text1"/>
                <w:kern w:val="24"/>
                <w:position w:val="7"/>
                <w:vertAlign w:val="superscript"/>
              </w:rPr>
              <w:t>-1</w:t>
            </w:r>
            <w:r w:rsidRPr="00BB4B6E">
              <w:rPr>
                <w:b/>
                <w:bCs/>
                <w:color w:val="000000" w:themeColor="text1"/>
                <w:kern w:val="24"/>
              </w:rPr>
              <w:t xml:space="preserve">) </w:t>
            </w:r>
          </w:p>
          <w:p w:rsidR="00F934C1" w:rsidRPr="00BB4B6E" w:rsidRDefault="00F934C1" w:rsidP="00F934C1">
            <w:pPr>
              <w:autoSpaceDE/>
              <w:autoSpaceDN/>
              <w:adjustRightInd/>
              <w:spacing w:line="276" w:lineRule="auto"/>
              <w:ind w:left="187"/>
              <w:jc w:val="center"/>
            </w:pPr>
            <w:r w:rsidRPr="00BB4B6E">
              <w:rPr>
                <w:b/>
                <w:bCs/>
                <w:color w:val="000000" w:themeColor="text1"/>
                <w:kern w:val="24"/>
              </w:rPr>
              <w:t>n=9</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76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65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30 days</w:t>
            </w:r>
          </w:p>
        </w:tc>
        <w:tc>
          <w:tcPr>
            <w:tcW w:w="153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60 days</w:t>
            </w:r>
          </w:p>
        </w:tc>
        <w:tc>
          <w:tcPr>
            <w:tcW w:w="153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90 days</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76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rPr>
                <w:color w:val="000000" w:themeColor="text1"/>
              </w:rPr>
            </w:pPr>
            <w:r w:rsidRPr="00BB4B6E">
              <w:rPr>
                <w:bCs/>
                <w:color w:val="000000" w:themeColor="text1"/>
              </w:rPr>
              <w:t xml:space="preserve">Bone nHA </w:t>
            </w:r>
          </w:p>
        </w:tc>
        <w:tc>
          <w:tcPr>
            <w:tcW w:w="165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31.27±1.16</w:t>
            </w:r>
            <w:r w:rsidRPr="00BB4B6E">
              <w:rPr>
                <w:color w:val="000000" w:themeColor="text1"/>
                <w:vertAlign w:val="superscript"/>
              </w:rPr>
              <w:t>aC</w:t>
            </w:r>
          </w:p>
        </w:tc>
        <w:tc>
          <w:tcPr>
            <w:tcW w:w="153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5.95±0.93</w:t>
            </w:r>
            <w:r w:rsidRPr="00BB4B6E">
              <w:rPr>
                <w:color w:val="000000" w:themeColor="text1"/>
                <w:vertAlign w:val="superscript"/>
              </w:rPr>
              <w:t>aB</w:t>
            </w:r>
          </w:p>
        </w:tc>
        <w:tc>
          <w:tcPr>
            <w:tcW w:w="153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1.64±1.11</w:t>
            </w:r>
            <w:r w:rsidRPr="00BB4B6E">
              <w:rPr>
                <w:color w:val="000000" w:themeColor="text1"/>
                <w:vertAlign w:val="superscript"/>
              </w:rPr>
              <w:t>aA</w:t>
            </w:r>
          </w:p>
        </w:tc>
        <w:tc>
          <w:tcPr>
            <w:tcW w:w="406"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color w:val="000000" w:themeColor="text1"/>
              </w:rPr>
              <w:t xml:space="preserve">Syn nHA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41.00±2.8</w:t>
            </w:r>
            <w:r w:rsidRPr="00BB4B6E">
              <w:rPr>
                <w:color w:val="000000" w:themeColor="text1"/>
                <w:vertAlign w:val="superscript"/>
              </w:rPr>
              <w:t>cC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9.76±1.20</w:t>
            </w:r>
            <w:r w:rsidRPr="00BB4B6E">
              <w:rPr>
                <w:color w:val="000000" w:themeColor="text1"/>
                <w:vertAlign w:val="superscript"/>
              </w:rPr>
              <w:t>cB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2.33±0.70</w:t>
            </w:r>
            <w:r w:rsidRPr="00BB4B6E">
              <w:rPr>
                <w:color w:val="000000" w:themeColor="text1"/>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color w:val="000000" w:themeColor="text1"/>
              </w:rPr>
              <w:t xml:space="preserve">Bone nHA +DAP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31.63±1.45</w:t>
            </w:r>
            <w:r w:rsidRPr="00BB4B6E">
              <w:rPr>
                <w:color w:val="000000" w:themeColor="text1"/>
                <w:vertAlign w:val="superscript"/>
              </w:rPr>
              <w:t>aC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6.65±1.11</w:t>
            </w:r>
            <w:r w:rsidRPr="00BB4B6E">
              <w:rPr>
                <w:color w:val="000000" w:themeColor="text1"/>
                <w:vertAlign w:val="superscript"/>
              </w:rPr>
              <w:t>aB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1.93±0.73</w:t>
            </w:r>
            <w:r w:rsidRPr="00BB4B6E">
              <w:rPr>
                <w:color w:val="000000" w:themeColor="text1"/>
                <w:vertAlign w:val="superscript"/>
              </w:rPr>
              <w:t>aA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color w:val="000000" w:themeColor="text1"/>
              </w:rPr>
              <w:t xml:space="preserve">Syn nHA +DAP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43.40±1.73</w:t>
            </w:r>
            <w:r w:rsidRPr="00BB4B6E">
              <w:rPr>
                <w:color w:val="000000" w:themeColor="text1"/>
                <w:vertAlign w:val="superscript"/>
              </w:rPr>
              <w:t>cC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10.72±0.82</w:t>
            </w:r>
            <w:r w:rsidRPr="00BB4B6E">
              <w:rPr>
                <w:color w:val="000000" w:themeColor="text1"/>
                <w:vertAlign w:val="superscript"/>
              </w:rPr>
              <w:t>eB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2.94±0.52</w:t>
            </w:r>
            <w:r w:rsidRPr="00BB4B6E">
              <w:rPr>
                <w:color w:val="000000" w:themeColor="text1"/>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color w:val="000000" w:themeColor="text1"/>
              </w:rPr>
              <w:t xml:space="preserve">Bone nHA+ 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color w:val="000000" w:themeColor="text1"/>
              </w:rPr>
              <w:t>35.41±1.45</w:t>
            </w:r>
            <w:r w:rsidRPr="00BB4B6E">
              <w:rPr>
                <w:color w:val="000000" w:themeColor="text1"/>
                <w:vertAlign w:val="superscript"/>
              </w:rPr>
              <w:t>bC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color w:val="000000" w:themeColor="text1"/>
              </w:rPr>
              <w:t>7.31±0.91</w:t>
            </w:r>
            <w:r w:rsidRPr="00BB4B6E">
              <w:rPr>
                <w:color w:val="000000" w:themeColor="text1"/>
                <w:vertAlign w:val="superscript"/>
              </w:rPr>
              <w:t>abB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color w:val="000000" w:themeColor="text1"/>
              </w:rPr>
              <w:t>2.97±0.98</w:t>
            </w:r>
            <w:r w:rsidRPr="00BB4B6E">
              <w:rPr>
                <w:color w:val="000000" w:themeColor="text1"/>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color w:val="000000" w:themeColor="text1"/>
              </w:rPr>
              <w:t xml:space="preserve">Syn nHA+ 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46.46±2.15</w:t>
            </w:r>
            <w:r w:rsidRPr="00BB4B6E">
              <w:rPr>
                <w:color w:val="000000" w:themeColor="text1"/>
                <w:vertAlign w:val="superscript"/>
              </w:rPr>
              <w:t>cdC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9.18±1.05</w:t>
            </w:r>
            <w:r w:rsidRPr="00BB4B6E">
              <w:rPr>
                <w:color w:val="000000" w:themeColor="text1"/>
                <w:vertAlign w:val="superscript"/>
              </w:rPr>
              <w:t>cB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4.21±0.68</w:t>
            </w:r>
            <w:r w:rsidRPr="00BB4B6E">
              <w:rPr>
                <w:color w:val="000000" w:themeColor="text1"/>
                <w:vertAlign w:val="superscript"/>
              </w:rPr>
              <w:t>cA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color w:val="000000" w:themeColor="text1"/>
              </w:rPr>
              <w:t xml:space="preserve">Bone nHA+DAP+NPK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36.48±1.12</w:t>
            </w:r>
            <w:r w:rsidRPr="00BB4B6E">
              <w:rPr>
                <w:color w:val="000000" w:themeColor="text1"/>
                <w:vertAlign w:val="superscript"/>
              </w:rPr>
              <w:t>bC</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6.10±0.51</w:t>
            </w:r>
            <w:r w:rsidRPr="00BB4B6E">
              <w:rPr>
                <w:color w:val="000000" w:themeColor="text1"/>
                <w:vertAlign w:val="superscript"/>
              </w:rPr>
              <w:t>aB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1.65±0.99</w:t>
            </w:r>
            <w:r w:rsidRPr="00BB4B6E">
              <w:rPr>
                <w:color w:val="000000" w:themeColor="text1"/>
                <w:vertAlign w:val="superscript"/>
              </w:rPr>
              <w:t>aA</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color w:val="000000" w:themeColor="text1"/>
              </w:rPr>
              <w:t xml:space="preserve">Syn nHA+DAP+NPK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44.20±6.08</w:t>
            </w:r>
            <w:r w:rsidRPr="00BB4B6E">
              <w:rPr>
                <w:color w:val="000000" w:themeColor="text1"/>
                <w:vertAlign w:val="superscript"/>
              </w:rPr>
              <w:t>d</w:t>
            </w:r>
            <w:r>
              <w:rPr>
                <w:color w:val="000000" w:themeColor="text1"/>
                <w:vertAlign w:val="superscript"/>
              </w:rPr>
              <w:t>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9.98±2.70</w:t>
            </w:r>
            <w:r w:rsidRPr="00BB4B6E">
              <w:rPr>
                <w:color w:val="000000" w:themeColor="text1"/>
                <w:vertAlign w:val="superscript"/>
              </w:rPr>
              <w:t>cB</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2.50±1.75</w:t>
            </w:r>
            <w:r w:rsidRPr="00BB4B6E">
              <w:rPr>
                <w:color w:val="000000" w:themeColor="text1"/>
                <w:vertAlign w:val="superscript"/>
              </w:rPr>
              <w:t>bA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pPr>
            <w:r w:rsidRPr="00BB4B6E">
              <w:rPr>
                <w:color w:val="000000" w:themeColor="text1"/>
              </w:rPr>
              <w:t xml:space="preserve">DAP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51.90±4.10</w:t>
            </w:r>
            <w:r w:rsidRPr="00BB4B6E">
              <w:rPr>
                <w:color w:val="000000" w:themeColor="text1"/>
                <w:vertAlign w:val="superscript"/>
              </w:rPr>
              <w:t>eC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54.88±0.96</w:t>
            </w:r>
            <w:r w:rsidRPr="00BB4B6E">
              <w:rPr>
                <w:color w:val="000000" w:themeColor="text1"/>
                <w:vertAlign w:val="superscript"/>
              </w:rPr>
              <w:t>eB</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32.21±2.63</w:t>
            </w:r>
            <w:r w:rsidRPr="00BB4B6E">
              <w:rPr>
                <w:color w:val="000000" w:themeColor="text1"/>
                <w:vertAlign w:val="superscript"/>
              </w:rPr>
              <w:t>eA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color w:val="000000" w:themeColor="text1"/>
              </w:rPr>
              <w:t xml:space="preserve">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52.15±1.09</w:t>
            </w:r>
            <w:r w:rsidRPr="00BB4B6E">
              <w:rPr>
                <w:color w:val="000000" w:themeColor="text1"/>
                <w:vertAlign w:val="superscript"/>
              </w:rPr>
              <w:t>eC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60.04±1.62</w:t>
            </w:r>
            <w:r w:rsidRPr="00BB4B6E">
              <w:rPr>
                <w:color w:val="000000" w:themeColor="text1"/>
                <w:vertAlign w:val="superscript"/>
              </w:rPr>
              <w:t>fB</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34.36±1.16</w:t>
            </w:r>
            <w:r w:rsidRPr="00BB4B6E">
              <w:rPr>
                <w:color w:val="000000" w:themeColor="text1"/>
                <w:vertAlign w:val="superscript"/>
              </w:rPr>
              <w:t>eA</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color w:val="000000" w:themeColor="text1"/>
              </w:rPr>
              <w:t xml:space="preserve">DAP+NPK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51.59±2.77</w:t>
            </w:r>
            <w:r w:rsidRPr="00BB4B6E">
              <w:rPr>
                <w:color w:val="000000" w:themeColor="text1"/>
                <w:vertAlign w:val="superscript"/>
              </w:rPr>
              <w:t>eC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51.86±1.18</w:t>
            </w:r>
            <w:r w:rsidRPr="00BB4B6E">
              <w:rPr>
                <w:color w:val="000000" w:themeColor="text1"/>
                <w:vertAlign w:val="superscript"/>
              </w:rPr>
              <w:t>eB</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31.92±1.57</w:t>
            </w:r>
            <w:r w:rsidRPr="00BB4B6E">
              <w:rPr>
                <w:color w:val="000000" w:themeColor="text1"/>
                <w:vertAlign w:val="superscript"/>
              </w:rPr>
              <w:t>eA</w:t>
            </w:r>
          </w:p>
        </w:tc>
        <w:tc>
          <w:tcPr>
            <w:tcW w:w="406"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color w:val="000000" w:themeColor="text1"/>
              </w:rPr>
              <w:t xml:space="preserve">Non-treated control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50.52±1.31</w:t>
            </w:r>
            <w:r w:rsidRPr="00BB4B6E">
              <w:rPr>
                <w:color w:val="000000" w:themeColor="text1"/>
                <w:vertAlign w:val="superscript"/>
              </w:rPr>
              <w:t>eC</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47.18±1.50</w:t>
            </w:r>
            <w:r w:rsidRPr="00BB4B6E">
              <w:rPr>
                <w:color w:val="000000" w:themeColor="text1"/>
                <w:vertAlign w:val="superscript"/>
              </w:rPr>
              <w:t>dB</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27.25±0.99</w:t>
            </w:r>
            <w:r w:rsidRPr="00BB4B6E">
              <w:rPr>
                <w:color w:val="000000" w:themeColor="text1"/>
                <w:vertAlign w:val="superscript"/>
              </w:rPr>
              <w:t>dA</w:t>
            </w:r>
          </w:p>
        </w:tc>
        <w:tc>
          <w:tcPr>
            <w:tcW w:w="406"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76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p>
        </w:tc>
        <w:tc>
          <w:tcPr>
            <w:tcW w:w="165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rPr>
                <w:color w:val="000000" w:themeColor="text1"/>
              </w:rPr>
            </w:pPr>
          </w:p>
        </w:tc>
        <w:tc>
          <w:tcPr>
            <w:tcW w:w="153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rPr>
                <w:color w:val="000000" w:themeColor="text1"/>
              </w:rPr>
            </w:pPr>
            <w:r w:rsidRPr="00BB4B6E">
              <w:rPr>
                <w:color w:val="000000" w:themeColor="text1"/>
              </w:rPr>
              <w:t>P-value ˂0.01</w:t>
            </w:r>
          </w:p>
        </w:tc>
        <w:tc>
          <w:tcPr>
            <w:tcW w:w="153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rPr>
                <w:color w:val="000000" w:themeColor="text1"/>
              </w:rPr>
            </w:pPr>
          </w:p>
        </w:tc>
        <w:tc>
          <w:tcPr>
            <w:tcW w:w="406"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934C1">
      <w:pPr>
        <w:spacing w:line="240" w:lineRule="auto"/>
        <w:rPr>
          <w:lang w:val="sw-KE" w:eastAsia="sw-KE"/>
        </w:rPr>
      </w:pPr>
      <w:r w:rsidRPr="00BB4B6E">
        <w:rPr>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rPr>
          <w:color w:val="000000" w:themeColor="text1"/>
        </w:rPr>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Default="00F934C1" w:rsidP="00F934C1">
      <w:pPr>
        <w:pStyle w:val="Caption"/>
        <w:rPr>
          <w:color w:val="auto"/>
          <w:sz w:val="24"/>
          <w:szCs w:val="24"/>
        </w:rPr>
      </w:pPr>
    </w:p>
    <w:p w:rsidR="00F934C1" w:rsidRPr="008503B0" w:rsidRDefault="00F934C1" w:rsidP="00F934C1"/>
    <w:p w:rsidR="00F934C1" w:rsidRPr="00BB4B6E" w:rsidRDefault="00F934C1" w:rsidP="00F934C1">
      <w:pPr>
        <w:pStyle w:val="Caption"/>
        <w:rPr>
          <w:color w:val="auto"/>
          <w:sz w:val="24"/>
          <w:szCs w:val="24"/>
        </w:rPr>
      </w:pPr>
    </w:p>
    <w:p w:rsidR="00F934C1" w:rsidRPr="00BB4B6E" w:rsidRDefault="00F934C1" w:rsidP="00F934C1">
      <w:pPr>
        <w:pStyle w:val="Heading4"/>
        <w:rPr>
          <w:lang w:eastAsia="sw-KE"/>
        </w:rPr>
      </w:pPr>
      <w:bookmarkStart w:id="210" w:name="_Toc144222341"/>
      <w:r w:rsidRPr="00BB4B6E">
        <w:lastRenderedPageBreak/>
        <w:t>Table 4.10:</w:t>
      </w:r>
      <w:r>
        <w:rPr>
          <w:lang w:eastAsia="sw-KE"/>
        </w:rPr>
        <w:t xml:space="preserve"> Comparison of l</w:t>
      </w:r>
      <w:r w:rsidRPr="00BB4B6E">
        <w:rPr>
          <w:lang w:eastAsia="sw-KE"/>
        </w:rPr>
        <w:t>ead uptake in bean, kale and spinach leaves grown using nano-fertilizers at 90</w:t>
      </w:r>
      <w:r w:rsidRPr="00BB4B6E">
        <w:rPr>
          <w:vertAlign w:val="superscript"/>
          <w:lang w:eastAsia="sw-KE"/>
        </w:rPr>
        <w:t>th</w:t>
      </w:r>
      <w:r w:rsidRPr="00BB4B6E">
        <w:rPr>
          <w:lang w:eastAsia="sw-KE"/>
        </w:rPr>
        <w:t xml:space="preserve"> day</w:t>
      </w:r>
      <w:bookmarkEnd w:id="210"/>
    </w:p>
    <w:tbl>
      <w:tblPr>
        <w:tblW w:w="8146" w:type="dxa"/>
        <w:tblInd w:w="58" w:type="dxa"/>
        <w:tblCellMar>
          <w:left w:w="0" w:type="dxa"/>
          <w:right w:w="0" w:type="dxa"/>
        </w:tblCellMar>
        <w:tblLook w:val="04A0" w:firstRow="1" w:lastRow="0" w:firstColumn="1" w:lastColumn="0" w:noHBand="0" w:noVBand="1"/>
      </w:tblPr>
      <w:tblGrid>
        <w:gridCol w:w="2760"/>
        <w:gridCol w:w="1650"/>
        <w:gridCol w:w="1800"/>
        <w:gridCol w:w="1530"/>
        <w:gridCol w:w="406"/>
      </w:tblGrid>
      <w:tr w:rsidR="00F934C1" w:rsidRPr="00BB4B6E" w:rsidTr="00F934C1">
        <w:trPr>
          <w:trHeight w:val="800"/>
        </w:trPr>
        <w:tc>
          <w:tcPr>
            <w:tcW w:w="276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498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b/>
                <w:bCs/>
                <w:color w:val="000000" w:themeColor="text1"/>
                <w:kern w:val="24"/>
              </w:rPr>
            </w:pPr>
            <w:r w:rsidRPr="00BB4B6E">
              <w:rPr>
                <w:b/>
                <w:bCs/>
                <w:color w:val="000000" w:themeColor="text1"/>
                <w:kern w:val="24"/>
              </w:rPr>
              <w:t>[Pb]</w:t>
            </w:r>
          </w:p>
          <w:p w:rsidR="00F934C1" w:rsidRPr="00BB4B6E" w:rsidRDefault="00F934C1" w:rsidP="00F934C1">
            <w:pPr>
              <w:autoSpaceDE/>
              <w:autoSpaceDN/>
              <w:adjustRightInd/>
              <w:spacing w:line="240" w:lineRule="auto"/>
              <w:jc w:val="center"/>
              <w:rPr>
                <w:color w:val="000000" w:themeColor="text1"/>
              </w:rPr>
            </w:pPr>
            <w:r w:rsidRPr="00BB4B6E">
              <w:rPr>
                <w:b/>
                <w:color w:val="000000"/>
              </w:rPr>
              <w:t>Mean ± SD</w:t>
            </w:r>
            <w:r w:rsidRPr="00BB4B6E">
              <w:rPr>
                <w:b/>
                <w:bCs/>
                <w:color w:val="000000" w:themeColor="text1"/>
                <w:kern w:val="24"/>
              </w:rPr>
              <w:t>(µgg</w:t>
            </w:r>
            <w:r w:rsidRPr="00BB4B6E">
              <w:rPr>
                <w:b/>
                <w:bCs/>
                <w:color w:val="000000" w:themeColor="text1"/>
                <w:kern w:val="24"/>
                <w:position w:val="7"/>
                <w:vertAlign w:val="superscript"/>
              </w:rPr>
              <w:t>-1</w:t>
            </w:r>
            <w:r w:rsidRPr="00BB4B6E">
              <w:rPr>
                <w:b/>
                <w:bCs/>
                <w:color w:val="000000" w:themeColor="text1"/>
                <w:kern w:val="24"/>
              </w:rPr>
              <w:t xml:space="preserve">) </w:t>
            </w:r>
          </w:p>
          <w:p w:rsidR="00F934C1" w:rsidRPr="00BB4B6E" w:rsidRDefault="00F934C1" w:rsidP="00F934C1">
            <w:pPr>
              <w:autoSpaceDE/>
              <w:autoSpaceDN/>
              <w:adjustRightInd/>
              <w:spacing w:line="276" w:lineRule="auto"/>
              <w:ind w:left="187"/>
              <w:jc w:val="center"/>
            </w:pPr>
            <w:r w:rsidRPr="00BB4B6E">
              <w:rPr>
                <w:b/>
                <w:bCs/>
                <w:color w:val="000000" w:themeColor="text1"/>
                <w:kern w:val="24"/>
              </w:rPr>
              <w:t>n=9</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76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65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Bean</w:t>
            </w:r>
          </w:p>
        </w:tc>
        <w:tc>
          <w:tcPr>
            <w:tcW w:w="180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Kale</w:t>
            </w:r>
          </w:p>
        </w:tc>
        <w:tc>
          <w:tcPr>
            <w:tcW w:w="153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Spinach</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76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Bone nHA </w:t>
            </w:r>
          </w:p>
        </w:tc>
        <w:tc>
          <w:tcPr>
            <w:tcW w:w="165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1.64±1.11</w:t>
            </w:r>
            <w:r w:rsidRPr="00BB4B6E">
              <w:rPr>
                <w:color w:val="000000" w:themeColor="text1"/>
                <w:vertAlign w:val="superscript"/>
              </w:rPr>
              <w:t>aA</w:t>
            </w:r>
          </w:p>
        </w:tc>
        <w:tc>
          <w:tcPr>
            <w:tcW w:w="18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spacing w:after="0" w:line="480" w:lineRule="auto"/>
              <w:rPr>
                <w:b w:val="0"/>
                <w:color w:val="auto"/>
                <w:sz w:val="24"/>
                <w:szCs w:val="24"/>
              </w:rPr>
            </w:pPr>
            <w:r w:rsidRPr="00BB4B6E">
              <w:rPr>
                <w:b w:val="0"/>
                <w:color w:val="auto"/>
                <w:sz w:val="24"/>
                <w:szCs w:val="24"/>
              </w:rPr>
              <w:t>2.74±0.29</w:t>
            </w:r>
            <w:r w:rsidRPr="00BB4B6E">
              <w:rPr>
                <w:b w:val="0"/>
                <w:color w:val="auto"/>
                <w:sz w:val="24"/>
                <w:szCs w:val="24"/>
                <w:vertAlign w:val="superscript"/>
              </w:rPr>
              <w:t>aA</w:t>
            </w:r>
          </w:p>
        </w:tc>
        <w:tc>
          <w:tcPr>
            <w:tcW w:w="153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3.53±0.97</w:t>
            </w:r>
            <w:r w:rsidRPr="00BB4B6E">
              <w:rPr>
                <w:b w:val="0"/>
                <w:color w:val="auto"/>
                <w:sz w:val="24"/>
                <w:szCs w:val="24"/>
                <w:vertAlign w:val="superscript"/>
              </w:rPr>
              <w:t>aB</w:t>
            </w:r>
          </w:p>
        </w:tc>
        <w:tc>
          <w:tcPr>
            <w:tcW w:w="406"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color w:val="000000" w:themeColor="text1"/>
              </w:rPr>
              <w:t xml:space="preserve">Syn nHA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2.33±0.70</w:t>
            </w:r>
            <w:r w:rsidRPr="00BB4B6E">
              <w:rPr>
                <w:color w:val="000000" w:themeColor="text1"/>
                <w:vertAlign w:val="superscript"/>
              </w:rPr>
              <w:t>bA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3.99±0.72</w:t>
            </w:r>
            <w:r w:rsidRPr="00BB4B6E">
              <w:rPr>
                <w:vertAlign w:val="superscript"/>
              </w:rPr>
              <w:t>bB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5.91±0.43</w:t>
            </w:r>
            <w:r w:rsidRPr="00BB4B6E">
              <w:rPr>
                <w:b w:val="0"/>
                <w:color w:val="auto"/>
                <w:sz w:val="24"/>
                <w:szCs w:val="24"/>
                <w:vertAlign w:val="superscript"/>
              </w:rPr>
              <w:t>bC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Bone nHA +DAP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1.93±0.73</w:t>
            </w:r>
            <w:r w:rsidRPr="00BB4B6E">
              <w:rPr>
                <w:color w:val="000000" w:themeColor="text1"/>
                <w:vertAlign w:val="superscript"/>
              </w:rPr>
              <w:t>aA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5.18±1.13</w:t>
            </w:r>
            <w:r w:rsidRPr="00BB4B6E">
              <w:rPr>
                <w:vertAlign w:val="superscript"/>
              </w:rPr>
              <w:t>cB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6.04±0.86</w:t>
            </w:r>
            <w:r w:rsidRPr="00BB4B6E">
              <w:rPr>
                <w:b w:val="0"/>
                <w:color w:val="auto"/>
                <w:sz w:val="24"/>
                <w:szCs w:val="24"/>
                <w:vertAlign w:val="superscript"/>
              </w:rPr>
              <w:t>bB</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Syn nHA +DAP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2.94±0.52</w:t>
            </w:r>
            <w:r w:rsidRPr="00BB4B6E">
              <w:rPr>
                <w:color w:val="000000" w:themeColor="text1"/>
                <w:vertAlign w:val="superscript"/>
              </w:rPr>
              <w:t>bA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4.61±1.62</w:t>
            </w:r>
            <w:r w:rsidRPr="00BB4B6E">
              <w:rPr>
                <w:vertAlign w:val="superscript"/>
              </w:rPr>
              <w:t>cB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9.56±0.84</w:t>
            </w:r>
            <w:r w:rsidRPr="00BB4B6E">
              <w:rPr>
                <w:b w:val="0"/>
                <w:color w:val="auto"/>
                <w:sz w:val="24"/>
                <w:szCs w:val="24"/>
                <w:vertAlign w:val="superscript"/>
              </w:rPr>
              <w:t>cC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Bone nHA+ 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rPr>
                <w:color w:val="000000" w:themeColor="text1"/>
              </w:rPr>
              <w:t>2.97±0.98</w:t>
            </w:r>
            <w:r w:rsidRPr="00BB4B6E">
              <w:rPr>
                <w:color w:val="000000" w:themeColor="text1"/>
                <w:vertAlign w:val="superscript"/>
              </w:rPr>
              <w:t>bA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kern w:val="24"/>
              </w:rPr>
            </w:pPr>
            <w:r w:rsidRPr="00BB4B6E">
              <w:t>3.91±1.92</w:t>
            </w:r>
            <w:r w:rsidRPr="00BB4B6E">
              <w:rPr>
                <w:vertAlign w:val="superscript"/>
              </w:rPr>
              <w:t>bB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5.58±0.83</w:t>
            </w:r>
            <w:r w:rsidRPr="00BB4B6E">
              <w:rPr>
                <w:b w:val="0"/>
                <w:color w:val="auto"/>
                <w:sz w:val="24"/>
                <w:szCs w:val="24"/>
                <w:vertAlign w:val="superscript"/>
              </w:rPr>
              <w:t>bC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kern w:val="24"/>
              </w:rPr>
            </w:pPr>
            <w:r w:rsidRPr="00BB4B6E">
              <w:rPr>
                <w:bCs/>
                <w:color w:val="000000" w:themeColor="text1"/>
              </w:rPr>
              <w:t xml:space="preserve">Syn nHA+ 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4.21±0.68</w:t>
            </w:r>
            <w:r w:rsidRPr="00BB4B6E">
              <w:rPr>
                <w:color w:val="000000" w:themeColor="text1"/>
                <w:vertAlign w:val="superscript"/>
              </w:rPr>
              <w:t>cA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5.16±1.64</w:t>
            </w:r>
            <w:r w:rsidRPr="00BB4B6E">
              <w:rPr>
                <w:vertAlign w:val="superscript"/>
              </w:rPr>
              <w:t>cA</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9.78±0.58</w:t>
            </w:r>
            <w:r w:rsidRPr="00BB4B6E">
              <w:rPr>
                <w:b w:val="0"/>
                <w:color w:val="auto"/>
                <w:sz w:val="24"/>
                <w:szCs w:val="24"/>
                <w:vertAlign w:val="superscript"/>
              </w:rPr>
              <w:t>cB</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jc w:val="left"/>
              <w:rPr>
                <w:color w:val="000000" w:themeColor="text1"/>
              </w:rPr>
            </w:pPr>
            <w:r w:rsidRPr="00BB4B6E">
              <w:rPr>
                <w:bCs/>
                <w:color w:val="000000" w:themeColor="text1"/>
              </w:rPr>
              <w:t xml:space="preserve">Bone nHA+DAP+NPK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rPr>
                <w:color w:val="000000" w:themeColor="text1"/>
              </w:rPr>
            </w:pPr>
            <w:r w:rsidRPr="00BB4B6E">
              <w:rPr>
                <w:color w:val="000000" w:themeColor="text1"/>
              </w:rPr>
              <w:t>1.65±0.99</w:t>
            </w:r>
            <w:r w:rsidRPr="00BB4B6E">
              <w:rPr>
                <w:color w:val="000000" w:themeColor="text1"/>
                <w:vertAlign w:val="superscript"/>
              </w:rPr>
              <w:t>aA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jc w:val="left"/>
            </w:pPr>
            <w:r w:rsidRPr="00BB4B6E">
              <w:t>3.57±3.58</w:t>
            </w:r>
            <w:r w:rsidRPr="00BB4B6E">
              <w:rPr>
                <w:vertAlign w:val="superscript"/>
              </w:rPr>
              <w:t>bB</w:t>
            </w:r>
          </w:p>
        </w:tc>
        <w:tc>
          <w:tcPr>
            <w:tcW w:w="153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6.42±0.90</w:t>
            </w:r>
            <w:r w:rsidRPr="00BB4B6E">
              <w:rPr>
                <w:b w:val="0"/>
                <w:color w:val="auto"/>
                <w:sz w:val="24"/>
                <w:szCs w:val="24"/>
                <w:vertAlign w:val="superscript"/>
              </w:rPr>
              <w:t>bC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Syn nHA+DAP+NPK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2.50±1.75</w:t>
            </w:r>
            <w:r w:rsidRPr="00BB4B6E">
              <w:rPr>
                <w:color w:val="000000" w:themeColor="text1"/>
                <w:vertAlign w:val="superscript"/>
              </w:rPr>
              <w:t>bA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jc w:val="left"/>
            </w:pPr>
            <w:r w:rsidRPr="00BB4B6E">
              <w:t>5.42±0.30</w:t>
            </w:r>
            <w:r w:rsidRPr="00BB4B6E">
              <w:rPr>
                <w:vertAlign w:val="superscript"/>
              </w:rPr>
              <w:t>cB</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8.97±0.58</w:t>
            </w:r>
            <w:r w:rsidRPr="00BB4B6E">
              <w:rPr>
                <w:b w:val="0"/>
                <w:color w:val="auto"/>
                <w:sz w:val="24"/>
                <w:szCs w:val="24"/>
                <w:vertAlign w:val="superscript"/>
              </w:rPr>
              <w:t>cC</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DAP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32.21±2.63</w:t>
            </w:r>
            <w:r w:rsidRPr="00BB4B6E">
              <w:rPr>
                <w:color w:val="000000" w:themeColor="text1"/>
                <w:vertAlign w:val="superscript"/>
              </w:rPr>
              <w:t>eA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jc w:val="left"/>
            </w:pPr>
            <w:r w:rsidRPr="00BB4B6E">
              <w:t>38.66±1.79</w:t>
            </w:r>
            <w:r w:rsidRPr="00BB4B6E">
              <w:rPr>
                <w:vertAlign w:val="superscript"/>
              </w:rPr>
              <w:t>eB</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42.73±0.75</w:t>
            </w:r>
            <w:r w:rsidRPr="00BB4B6E">
              <w:rPr>
                <w:b w:val="0"/>
                <w:color w:val="auto"/>
                <w:sz w:val="24"/>
                <w:szCs w:val="24"/>
                <w:vertAlign w:val="superscript"/>
              </w:rPr>
              <w:t>deC</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34.36±1.16</w:t>
            </w:r>
            <w:r w:rsidRPr="00BB4B6E">
              <w:rPr>
                <w:color w:val="000000" w:themeColor="text1"/>
                <w:vertAlign w:val="superscript"/>
              </w:rPr>
              <w:t>eA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37.38±1.58</w:t>
            </w:r>
            <w:r w:rsidRPr="00BB4B6E">
              <w:rPr>
                <w:vertAlign w:val="superscript"/>
              </w:rPr>
              <w:t>eA</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44.62±1.16</w:t>
            </w:r>
            <w:r w:rsidRPr="00BB4B6E">
              <w:rPr>
                <w:b w:val="0"/>
                <w:color w:val="auto"/>
                <w:sz w:val="24"/>
                <w:szCs w:val="24"/>
                <w:vertAlign w:val="superscript"/>
              </w:rPr>
              <w:t>eB</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DAP+NPK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31.92±1.57</w:t>
            </w:r>
            <w:r w:rsidRPr="00BB4B6E">
              <w:rPr>
                <w:color w:val="000000" w:themeColor="text1"/>
                <w:vertAlign w:val="superscript"/>
              </w:rPr>
              <w:t>eA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37.62±2.87</w:t>
            </w:r>
            <w:r w:rsidRPr="00BB4B6E">
              <w:rPr>
                <w:vertAlign w:val="superscript"/>
              </w:rPr>
              <w:t>eB</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39.89±0.91</w:t>
            </w:r>
            <w:r w:rsidRPr="00BB4B6E">
              <w:rPr>
                <w:b w:val="0"/>
                <w:color w:val="auto"/>
                <w:sz w:val="24"/>
                <w:szCs w:val="24"/>
                <w:vertAlign w:val="superscript"/>
              </w:rPr>
              <w:t>dB</w:t>
            </w:r>
          </w:p>
        </w:tc>
        <w:tc>
          <w:tcPr>
            <w:tcW w:w="406"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76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jc w:val="left"/>
              <w:rPr>
                <w:color w:val="000000" w:themeColor="text1"/>
              </w:rPr>
            </w:pPr>
            <w:r w:rsidRPr="00BB4B6E">
              <w:rPr>
                <w:bCs/>
                <w:color w:val="000000" w:themeColor="text1"/>
              </w:rPr>
              <w:t xml:space="preserve">Non-treated control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rPr>
                <w:color w:val="000000" w:themeColor="text1"/>
              </w:rPr>
              <w:t>27.25±0.99</w:t>
            </w:r>
            <w:r w:rsidRPr="00BB4B6E">
              <w:rPr>
                <w:color w:val="000000" w:themeColor="text1"/>
                <w:vertAlign w:val="superscript"/>
              </w:rPr>
              <w:t>dA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rPr>
                <w:color w:val="000000" w:themeColor="text1"/>
              </w:rPr>
            </w:pPr>
            <w:r w:rsidRPr="00BB4B6E">
              <w:t>30.15±0.87</w:t>
            </w:r>
            <w:r w:rsidRPr="00BB4B6E">
              <w:rPr>
                <w:vertAlign w:val="superscript"/>
              </w:rPr>
              <w:t>dB</w:t>
            </w:r>
          </w:p>
        </w:tc>
        <w:tc>
          <w:tcPr>
            <w:tcW w:w="153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39.57±1.02</w:t>
            </w:r>
            <w:r w:rsidRPr="00BB4B6E">
              <w:rPr>
                <w:b w:val="0"/>
                <w:color w:val="auto"/>
                <w:sz w:val="24"/>
                <w:szCs w:val="24"/>
                <w:vertAlign w:val="superscript"/>
              </w:rPr>
              <w:t>dC</w:t>
            </w:r>
          </w:p>
        </w:tc>
        <w:tc>
          <w:tcPr>
            <w:tcW w:w="406"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76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center"/>
              <w:rPr>
                <w:color w:val="000000" w:themeColor="text1"/>
              </w:rPr>
            </w:pPr>
            <w:r w:rsidRPr="00BB4B6E">
              <w:t>P-value˂0.01</w:t>
            </w:r>
          </w:p>
        </w:tc>
        <w:tc>
          <w:tcPr>
            <w:tcW w:w="165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800"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p>
        </w:tc>
        <w:tc>
          <w:tcPr>
            <w:tcW w:w="1530" w:type="dxa"/>
            <w:tcBorders>
              <w:top w:val="nil"/>
              <w:left w:val="nil"/>
              <w:bottom w:val="single" w:sz="8" w:space="0" w:color="000000"/>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p>
        </w:tc>
        <w:tc>
          <w:tcPr>
            <w:tcW w:w="406"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934C1">
      <w:pPr>
        <w:spacing w:line="240" w:lineRule="auto"/>
        <w:rPr>
          <w:color w:val="000000" w:themeColor="text1"/>
          <w:lang w:eastAsia="sw-KE"/>
        </w:rPr>
      </w:pPr>
      <w:r w:rsidRPr="00BB4B6E">
        <w:rPr>
          <w:color w:val="000000" w:themeColor="text1"/>
          <w:lang w:eastAsia="sw-KE"/>
        </w:rPr>
        <w:t>Means ± SD superscripted with similar small letters within the same column are not significantly different at p =0.05 (Anova).</w:t>
      </w:r>
    </w:p>
    <w:p w:rsidR="00F934C1" w:rsidRPr="00BB4B6E" w:rsidRDefault="00F934C1" w:rsidP="00F934C1">
      <w:pPr>
        <w:rPr>
          <w:color w:val="000000" w:themeColor="text1"/>
        </w:rPr>
      </w:pPr>
    </w:p>
    <w:p w:rsidR="00F934C1" w:rsidRPr="00BB4B6E" w:rsidRDefault="00F934C1" w:rsidP="00F934C1">
      <w:pPr>
        <w:rPr>
          <w:color w:val="000000" w:themeColor="text1"/>
        </w:rPr>
      </w:pPr>
      <w:r w:rsidRPr="00BB4B6E">
        <w:rPr>
          <w:color w:val="000000" w:themeColor="text1"/>
        </w:rPr>
        <w:t>Table 4.7 indicate the mean of Pb (µ</w:t>
      </w:r>
      <w:r w:rsidRPr="00BB4B6E">
        <w:t>gg</w:t>
      </w:r>
      <w:r w:rsidRPr="00BB4B6E">
        <w:rPr>
          <w:vertAlign w:val="superscript"/>
        </w:rPr>
        <w:t>-1</w:t>
      </w:r>
      <w:r w:rsidRPr="00BB4B6E">
        <w:t xml:space="preserve">) </w:t>
      </w:r>
      <w:r w:rsidRPr="00BB4B6E">
        <w:rPr>
          <w:color w:val="000000" w:themeColor="text1"/>
        </w:rPr>
        <w:t xml:space="preserve">in kale leaves grown in soils treated with </w:t>
      </w:r>
      <w:r w:rsidRPr="00BB4B6E">
        <w:rPr>
          <w:color w:val="000000" w:themeColor="text1"/>
          <w:kern w:val="24"/>
        </w:rPr>
        <w:t>Syn nHA</w:t>
      </w:r>
      <w:r w:rsidRPr="00BB4B6E">
        <w:rPr>
          <w:color w:val="0E101A"/>
        </w:rPr>
        <w:t xml:space="preserve">, </w:t>
      </w:r>
      <w:r w:rsidRPr="00BB4B6E">
        <w:rPr>
          <w:color w:val="000000" w:themeColor="text1"/>
          <w:kern w:val="24"/>
        </w:rPr>
        <w:t xml:space="preserve">bone nHA </w:t>
      </w:r>
      <w:r w:rsidRPr="00BB4B6E">
        <w:rPr>
          <w:lang w:val="sw-KE" w:eastAsia="sw-KE"/>
        </w:rPr>
        <w:t xml:space="preserve">nano-fertilizers and their DAP/NPK combinations (Table 4.7) </w:t>
      </w:r>
      <w:r w:rsidRPr="00BB4B6E">
        <w:rPr>
          <w:color w:val="000000" w:themeColor="text1"/>
        </w:rPr>
        <w:t xml:space="preserve">ranged from </w:t>
      </w:r>
      <w:r w:rsidRPr="00BB4B6E">
        <w:rPr>
          <w:color w:val="000000"/>
        </w:rPr>
        <w:t xml:space="preserve">42.44±1.13 (Syn nHA NPK at 30 day) to 2.74±0.57 </w:t>
      </w:r>
      <w:r w:rsidRPr="00BB4B6E">
        <w:rPr>
          <w:color w:val="000000" w:themeColor="text1"/>
        </w:rPr>
        <w:t>µ</w:t>
      </w:r>
      <w:r w:rsidRPr="00BB4B6E">
        <w:t>gg</w:t>
      </w:r>
      <w:r w:rsidRPr="00BB4B6E">
        <w:rPr>
          <w:vertAlign w:val="superscript"/>
        </w:rPr>
        <w:t>-1</w:t>
      </w:r>
      <w:r w:rsidRPr="00BB4B6E">
        <w:t xml:space="preserve"> (Bone nHA at 90 day), while in Spinach </w:t>
      </w:r>
      <w:r w:rsidRPr="00BB4B6E">
        <w:rPr>
          <w:color w:val="000000" w:themeColor="text1"/>
        </w:rPr>
        <w:t>the mean shown on Table 4.8 of Pb (µ</w:t>
      </w:r>
      <w:r w:rsidRPr="00BB4B6E">
        <w:t>gg</w:t>
      </w:r>
      <w:r w:rsidRPr="00BB4B6E">
        <w:rPr>
          <w:vertAlign w:val="superscript"/>
        </w:rPr>
        <w:t>-1</w:t>
      </w:r>
      <w:r w:rsidRPr="00BB4B6E">
        <w:t xml:space="preserve">) </w:t>
      </w:r>
      <w:r w:rsidRPr="00BB4B6E">
        <w:rPr>
          <w:color w:val="000000" w:themeColor="text1"/>
        </w:rPr>
        <w:t xml:space="preserve">ranged from </w:t>
      </w:r>
      <w:r w:rsidRPr="00BB4B6E">
        <w:rPr>
          <w:color w:val="000000"/>
        </w:rPr>
        <w:t xml:space="preserve">69.05±4.53 </w:t>
      </w:r>
      <w:r w:rsidRPr="00BB4B6E">
        <w:t>(syn nHA DAP-NPK at 30 day)</w:t>
      </w:r>
      <w:r w:rsidRPr="00BB4B6E">
        <w:rPr>
          <w:color w:val="000000"/>
        </w:rPr>
        <w:t xml:space="preserve"> to 3.53±0.97 </w:t>
      </w:r>
      <w:r w:rsidRPr="00BB4B6E">
        <w:rPr>
          <w:color w:val="000000" w:themeColor="text1"/>
        </w:rPr>
        <w:t>µ</w:t>
      </w:r>
      <w:r w:rsidRPr="00BB4B6E">
        <w:t>gg</w:t>
      </w:r>
      <w:r w:rsidRPr="00BB4B6E">
        <w:rPr>
          <w:vertAlign w:val="superscript"/>
        </w:rPr>
        <w:t>-1</w:t>
      </w:r>
      <w:r w:rsidRPr="00BB4B6E">
        <w:t xml:space="preserve"> (bone nHA at 90 </w:t>
      </w:r>
      <w:r w:rsidRPr="00BB4B6E">
        <w:lastRenderedPageBreak/>
        <w:t>day). However, for beans (</w:t>
      </w:r>
      <w:r w:rsidRPr="00BB4B6E">
        <w:rPr>
          <w:color w:val="000000" w:themeColor="text1"/>
        </w:rPr>
        <w:t xml:space="preserve">Table 4.9) the mean Pb concentration levels ranged from </w:t>
      </w:r>
      <w:r w:rsidRPr="00BB4B6E">
        <w:t>46.46±2.15 (</w:t>
      </w:r>
      <w:r w:rsidRPr="00BB4B6E">
        <w:rPr>
          <w:color w:val="000000"/>
        </w:rPr>
        <w:t xml:space="preserve">Syn nHA </w:t>
      </w:r>
      <w:r w:rsidRPr="00BB4B6E">
        <w:t xml:space="preserve">NPK at 30 day), to 1.64±1.11 </w:t>
      </w:r>
      <w:r w:rsidRPr="00BB4B6E">
        <w:rPr>
          <w:color w:val="000000" w:themeColor="text1"/>
        </w:rPr>
        <w:t>µ</w:t>
      </w:r>
      <w:r w:rsidRPr="00BB4B6E">
        <w:t>gg</w:t>
      </w:r>
      <w:r w:rsidRPr="00BB4B6E">
        <w:rPr>
          <w:vertAlign w:val="superscript"/>
        </w:rPr>
        <w:t>-1</w:t>
      </w:r>
      <w:r w:rsidRPr="00BB4B6E">
        <w:t xml:space="preserve"> (bone nHA at 90 day). </w:t>
      </w:r>
      <w:r w:rsidRPr="00BB4B6E">
        <w:rPr>
          <w:color w:val="000000" w:themeColor="text1"/>
        </w:rPr>
        <w:t>The % reduction of Pb uptake in beans for pots treated with nano-fertilizer treatments ranged from 80.88 to 92.51 % (</w:t>
      </w:r>
      <w:r w:rsidRPr="00BB4B6E">
        <w:t>Appendix I</w:t>
      </w:r>
      <w:r w:rsidRPr="00BB4B6E">
        <w:rPr>
          <w:color w:val="000000" w:themeColor="text1"/>
        </w:rPr>
        <w:t>).</w:t>
      </w:r>
    </w:p>
    <w:p w:rsidR="00F934C1" w:rsidRPr="00BB4B6E" w:rsidRDefault="00F934C1" w:rsidP="00F934C1"/>
    <w:p w:rsidR="00F934C1" w:rsidRPr="00BB4B6E" w:rsidRDefault="00F934C1" w:rsidP="00F934C1">
      <w:r w:rsidRPr="00BB4B6E">
        <w:rPr>
          <w:color w:val="000000" w:themeColor="text1"/>
          <w:kern w:val="24"/>
        </w:rPr>
        <w:t xml:space="preserve">The % </w:t>
      </w:r>
      <w:r w:rsidRPr="00BB4B6E">
        <w:rPr>
          <w:color w:val="000000" w:themeColor="text1"/>
        </w:rPr>
        <w:t xml:space="preserve">reduction of Pb uptake for treatments with nano-fertilizers ranged from 74.22 to 86.82 % (Table on Appendix I) in kale. </w:t>
      </w:r>
      <w:r w:rsidRPr="00BB4B6E">
        <w:rPr>
          <w:noProof/>
        </w:rPr>
        <w:t xml:space="preserve">Sun </w:t>
      </w:r>
      <w:r w:rsidRPr="00BB4B6E">
        <w:rPr>
          <w:i/>
          <w:noProof/>
        </w:rPr>
        <w:t>et al</w:t>
      </w:r>
      <w:r w:rsidRPr="00BB4B6E">
        <w:rPr>
          <w:noProof/>
        </w:rPr>
        <w:t>. (2020)</w:t>
      </w:r>
      <w:r w:rsidRPr="00BB4B6E">
        <w:t xml:space="preserve"> showed immobilization of Pb, increased by more than 74 % through application of biochar nanoparticles this depending on dosage and pH </w:t>
      </w:r>
      <w:r w:rsidR="00C226E6" w:rsidRPr="00BB4B6E">
        <w:fldChar w:fldCharType="begin" w:fldLock="1"/>
      </w:r>
      <w:r w:rsidRPr="00BB4B6E">
        <w:instrText>ADDIN CSL_CITATION {"citationItems":[{"id":"ITEM-1","itemData":{"author":[{"dropping-particle":"","family":"Gil-Díaz M, Pinilla P","given":"Alonso J. J Hazard Mater.","non-dropping-particle":"","parse-names":false,"suffix":""}],"container-title":"Journal of Hazardous Matererial","id":"ITEM-1","issued":{"date-parts":[["2017"]]},"page":"812–819.","title":"Viability of a nanoremediation process in single or multi-metal (loid) contaminated soils.","type":"article-journal","volume":"321"},"uris":["http://www.mendeley.com/documents/?uuid=8f69852b-c5b0-44d9-909b-ee1a51d9e5ec"]}],"mendeley":{"formattedCitation":"(Gil-Díaz M, Pinilla P, 2017)","manualFormatting":"(Gil-Díaz et al., 2017;","plainTextFormattedCitation":"(Gil-Díaz M, Pinilla P, 2017)","previouslyFormattedCitation":"(Gil-Díaz M, Pinilla P, 2017)"},"properties":{"noteIndex":0},"schema":"https://github.com/citation-style-language/schema/raw/master/csl-citation.json"}</w:instrText>
      </w:r>
      <w:r w:rsidR="00C226E6" w:rsidRPr="00BB4B6E">
        <w:fldChar w:fldCharType="separate"/>
      </w:r>
      <w:r w:rsidRPr="00BB4B6E">
        <w:rPr>
          <w:noProof/>
        </w:rPr>
        <w:t xml:space="preserve">(Gil-Díaz </w:t>
      </w:r>
      <w:r w:rsidRPr="00BB4B6E">
        <w:rPr>
          <w:i/>
          <w:noProof/>
        </w:rPr>
        <w:t>et al</w:t>
      </w:r>
      <w:r w:rsidRPr="00BB4B6E">
        <w:rPr>
          <w:noProof/>
        </w:rPr>
        <w:t>., 2017;</w:t>
      </w:r>
      <w:r w:rsidR="00C226E6" w:rsidRPr="00BB4B6E">
        <w:fldChar w:fldCharType="end"/>
      </w:r>
      <w:r w:rsidR="00C226E6" w:rsidRPr="00BB4B6E">
        <w:fldChar w:fldCharType="begin" w:fldLock="1"/>
      </w:r>
      <w:r w:rsidRPr="00BB4B6E">
        <w:instrText>ADDIN CSL_CITATION {"citationItems":[{"id":"ITEM-1","itemData":{"author":[{"dropping-particle":"","family":"Saghi A, Rashed Mohassel MH","given":"Parsa M. P","non-dropping-particle":"","parse-names":false,"suffix":""}],"container-title":"International Journal Phytoremediation","id":"ITEM-1","issued":{"date-parts":[["2016"]]},"page":"387–392.","title":"hytoremediation of lead-contaminated soil by Sinapis arvensis and Rapistrum rugosum.","type":"article-journal","volume":"4"},"uris":["http://www.mendeley.com/documents/?uuid=9e4f4e57-75e5-4b48-9eb3-29d10aadad6e"]}],"mendeley":{"formattedCitation":"(Saghi A, Rashed Mohassel MH, 2016)","manualFormatting":"Saghi et al., 2016)","plainTextFormattedCitation":"(Saghi A, Rashed Mohassel MH, 2016)","previouslyFormattedCitation":"(Saghi A, Rashed Mohassel MH, 2016)"},"properties":{"noteIndex":0},"schema":"https://github.com/citation-style-language/schema/raw/master/csl-citation.json"}</w:instrText>
      </w:r>
      <w:r w:rsidR="00C226E6" w:rsidRPr="00BB4B6E">
        <w:fldChar w:fldCharType="separate"/>
      </w:r>
      <w:r w:rsidRPr="00BB4B6E">
        <w:rPr>
          <w:noProof/>
        </w:rPr>
        <w:t xml:space="preserve">Saghi </w:t>
      </w:r>
      <w:r w:rsidRPr="00BB4B6E">
        <w:rPr>
          <w:i/>
          <w:noProof/>
        </w:rPr>
        <w:t>et al</w:t>
      </w:r>
      <w:r w:rsidRPr="00BB4B6E">
        <w:rPr>
          <w:noProof/>
        </w:rPr>
        <w:t>., 2016)</w:t>
      </w:r>
      <w:r w:rsidR="00C226E6" w:rsidRPr="00BB4B6E">
        <w:fldChar w:fldCharType="end"/>
      </w:r>
      <w:r w:rsidRPr="00BB4B6E">
        <w:t xml:space="preserve">. The </w:t>
      </w:r>
      <w:r w:rsidRPr="00BB4B6E">
        <w:rPr>
          <w:color w:val="000000" w:themeColor="text1"/>
          <w:kern w:val="24"/>
        </w:rPr>
        <w:t xml:space="preserve">% reduction was not only highest for the kale plant grown using </w:t>
      </w:r>
      <w:r w:rsidRPr="00BB4B6E">
        <w:t xml:space="preserve">bone nHA but </w:t>
      </w:r>
      <w:r w:rsidRPr="00BB4B6E">
        <w:rPr>
          <w:color w:val="000000"/>
        </w:rPr>
        <w:t xml:space="preserve">it was observed (Table 4.7) that during the growth period (30-90 days) of the </w:t>
      </w:r>
      <w:r>
        <w:rPr>
          <w:color w:val="000000"/>
        </w:rPr>
        <w:t xml:space="preserve">kale </w:t>
      </w:r>
      <w:r w:rsidRPr="00BB4B6E">
        <w:rPr>
          <w:color w:val="000000"/>
        </w:rPr>
        <w:t xml:space="preserve">plant, </w:t>
      </w:r>
      <w:r w:rsidRPr="00BB4B6E">
        <w:t>bone nHA showed significantly lower levels of Pb (</w:t>
      </w:r>
      <w:r w:rsidRPr="00BB4B6E">
        <w:rPr>
          <w:color w:val="000000" w:themeColor="text1"/>
        </w:rPr>
        <w:t>µ</w:t>
      </w:r>
      <w:r w:rsidRPr="00BB4B6E">
        <w:t>gg</w:t>
      </w:r>
      <w:r w:rsidRPr="00BB4B6E">
        <w:rPr>
          <w:vertAlign w:val="superscript"/>
        </w:rPr>
        <w:t>-1</w:t>
      </w:r>
      <w:r w:rsidRPr="00BB4B6E">
        <w:t>) (</w:t>
      </w:r>
      <w:r w:rsidRPr="00BB4B6E">
        <w:rPr>
          <w:color w:val="000000"/>
          <w:kern w:val="24"/>
        </w:rPr>
        <w:t>33.54±1.07</w:t>
      </w:r>
      <w:r w:rsidRPr="00BB4B6E">
        <w:rPr>
          <w:color w:val="000000" w:themeColor="text1"/>
          <w:kern w:val="24"/>
        </w:rPr>
        <w:t xml:space="preserve"> at 30 days, </w:t>
      </w:r>
      <w:r w:rsidRPr="00BB4B6E">
        <w:rPr>
          <w:color w:val="000000"/>
          <w:kern w:val="24"/>
        </w:rPr>
        <w:t>11.69±0.59</w:t>
      </w:r>
      <w:r w:rsidRPr="00BB4B6E">
        <w:rPr>
          <w:color w:val="000000" w:themeColor="text1"/>
          <w:kern w:val="24"/>
        </w:rPr>
        <w:t xml:space="preserve"> at 60 days and </w:t>
      </w:r>
      <w:r w:rsidRPr="00BB4B6E">
        <w:rPr>
          <w:color w:val="000000"/>
          <w:kern w:val="24"/>
        </w:rPr>
        <w:t>2.74±0.29</w:t>
      </w:r>
      <w:r w:rsidRPr="00BB4B6E">
        <w:rPr>
          <w:color w:val="000000" w:themeColor="text1"/>
          <w:kern w:val="24"/>
        </w:rPr>
        <w:t xml:space="preserve"> at 90 days) in comparison to all other treatments. These values are significantly lower than those obtained in beans in the other treatments. Bone nHA had statistically significantly lower Pb levels (p&lt;0.01) than Syn nHA and its combinations. </w:t>
      </w:r>
      <w:r w:rsidRPr="00BB4B6E">
        <w:rPr>
          <w:color w:val="000000" w:themeColor="text1"/>
        </w:rPr>
        <w:t>At 90 day all the plant leaves obtained from nano-fertilizer treated pots had Pb uptake levels that were within FAO/WHO permissible level of 10 µ</w:t>
      </w:r>
      <w:r w:rsidRPr="00BB4B6E">
        <w:t>gg</w:t>
      </w:r>
      <w:r w:rsidRPr="00BB4B6E">
        <w:rPr>
          <w:vertAlign w:val="superscript"/>
        </w:rPr>
        <w:t xml:space="preserve">-1 </w:t>
      </w:r>
      <w:r w:rsidRPr="00BB4B6E">
        <w:t>at maturity</w:t>
      </w:r>
      <w:r w:rsidRPr="00BB4B6E">
        <w:rPr>
          <w:color w:val="000000" w:themeColor="text1"/>
        </w:rPr>
        <w:t xml:space="preserve">. </w:t>
      </w:r>
      <w:r w:rsidRPr="00BB4B6E">
        <w:rPr>
          <w:lang w:val="sw-KE" w:eastAsia="sw-KE"/>
        </w:rPr>
        <w:t>The observations on the Pb uptake in the plants were  having similar trends to those of Cd (Table 4.4 to Table 4.5) and they are suppor</w:t>
      </w:r>
      <w:r>
        <w:rPr>
          <w:lang w:val="sw-KE" w:eastAsia="sw-KE"/>
        </w:rPr>
        <w:t>ted by a similar discussion in S</w:t>
      </w:r>
      <w:r w:rsidRPr="00BB4B6E">
        <w:rPr>
          <w:lang w:val="sw-KE" w:eastAsia="sw-KE"/>
        </w:rPr>
        <w:t>ection 4.4.1.</w:t>
      </w:r>
    </w:p>
    <w:p w:rsidR="00F934C1" w:rsidRPr="00BB4B6E" w:rsidRDefault="00F934C1" w:rsidP="00F934C1">
      <w:pPr>
        <w:rPr>
          <w:color w:val="000000"/>
        </w:rPr>
      </w:pPr>
    </w:p>
    <w:p w:rsidR="00F934C1" w:rsidRPr="00BB4B6E" w:rsidRDefault="00F934C1" w:rsidP="00F934C1">
      <w:pPr>
        <w:rPr>
          <w:color w:val="000000"/>
        </w:rPr>
      </w:pPr>
      <w:r w:rsidRPr="00BB4B6E">
        <w:rPr>
          <w:color w:val="000000"/>
        </w:rPr>
        <w:t>Pb uptake levels were lower in comparison to Cd uptake levels in the respective treatments. This is attributed to the lower mobility of Pb</w:t>
      </w:r>
      <w:r w:rsidRPr="00BB4B6E">
        <w:rPr>
          <w:color w:val="000000"/>
          <w:vertAlign w:val="superscript"/>
        </w:rPr>
        <w:t>2+</w:t>
      </w:r>
      <w:r w:rsidRPr="00BB4B6E">
        <w:rPr>
          <w:color w:val="000000"/>
        </w:rPr>
        <w:t xml:space="preserve"> in comparison with Cd</w:t>
      </w:r>
      <w:r w:rsidRPr="00BB4B6E">
        <w:rPr>
          <w:color w:val="000000"/>
          <w:vertAlign w:val="superscript"/>
        </w:rPr>
        <w:t>2+</w:t>
      </w:r>
      <w:r w:rsidRPr="00BB4B6E">
        <w:rPr>
          <w:color w:val="000000"/>
        </w:rPr>
        <w:t xml:space="preserve"> which has higher mobility. Similarly Pb</w:t>
      </w:r>
      <w:r w:rsidRPr="00BB4B6E">
        <w:rPr>
          <w:color w:val="000000"/>
          <w:vertAlign w:val="superscript"/>
        </w:rPr>
        <w:t>2+</w:t>
      </w:r>
      <w:r w:rsidRPr="00BB4B6E">
        <w:rPr>
          <w:color w:val="000000"/>
        </w:rPr>
        <w:t xml:space="preserve"> does not protonate the nano-fertilizer adsorption surface to make it positively charged. Hence there is reduced repulsion </w:t>
      </w:r>
      <w:r w:rsidRPr="00BB4B6E">
        <w:rPr>
          <w:color w:val="000000"/>
        </w:rPr>
        <w:lastRenderedPageBreak/>
        <w:t>between the Pb</w:t>
      </w:r>
      <w:r w:rsidRPr="00BB4B6E">
        <w:rPr>
          <w:color w:val="000000"/>
          <w:vertAlign w:val="superscript"/>
        </w:rPr>
        <w:t>2+</w:t>
      </w:r>
      <w:r w:rsidRPr="00BB4B6E">
        <w:rPr>
          <w:color w:val="000000"/>
        </w:rPr>
        <w:t xml:space="preserve"> with the nanofertilizer surface (</w:t>
      </w:r>
      <w:r w:rsidR="00C226E6" w:rsidRPr="00BB4B6E">
        <w:rPr>
          <w:color w:val="000000"/>
        </w:rPr>
        <w:fldChar w:fldCharType="begin" w:fldLock="1"/>
      </w:r>
      <w:r w:rsidRPr="00BB4B6E">
        <w:rPr>
          <w:color w:val="000000"/>
        </w:rPr>
        <w:instrText>ADDIN CSL_CITATION {"citationItems":[{"id":"ITEM-1","itemData":{"author":[{"dropping-particle":"","family":"Shojaei","given":"T.R.","non-dropping-particle":"","parse-names":false,"suffix":""},{"dropping-particle":"","family":"Salleh","given":"M.A.M.","non-dropping-particle":"","parse-names":false,"suffix":""},{"dropping-particle":"","family":"Tabatabaei","given":"M.","non-dropping-particle":"","parse-names":false,"suffix":""},{"dropping-particle":"","family":"Mobli","given":"H.","non-dropping-particle":"","parse-names":false,"suffix":""},{"dropping-particle":"","family":"Aghbashlo","given":"M.","non-dropping-particle":"","parse-names":false,"suffix":""},{"dropping-particle":"","family":"Rashid","given":"S.A.","non-dropping-particle":"","parse-names":false,"suffix":""},{"dropping-particle":"","family":"Tan","given":"T.","non-dropping-particle":"","parse-names":false,"suffix":""}],"container-title":"The Netherlands","id":"ITEM-1","issued":{"date-parts":[["2019"]]},"page":"247–277.","title":"Applications of nanotechnology and carbon nanoparticles in agriculture. In synthesis, technology and applications of carbon nanomaterials; Suraya, A.R., Raja, N.I.R.O., Mohd, Z.H., Eds.; Elsevier:","type":"article-journal","volume":"214"},"uris":["http://www.mendeley.com/documents/?uuid=b1e378e3-7dbf-4b24-80b4-2b2cc0c3a122"]}],"mendeley":{"formattedCitation":"(Shojaei et al., 2019)","manualFormatting":"Shojaei et al.(2019)","plainTextFormattedCitation":"(Shojaei et al., 2019)","previouslyFormattedCitation":"(Shojaei et al., 2019)"},"properties":{"noteIndex":0},"schema":"https://github.com/citation-style-language/schema/raw/master/csl-citation.json"}</w:instrText>
      </w:r>
      <w:r w:rsidR="00C226E6" w:rsidRPr="00BB4B6E">
        <w:rPr>
          <w:color w:val="000000"/>
        </w:rPr>
        <w:fldChar w:fldCharType="separate"/>
      </w:r>
      <w:r w:rsidRPr="00BB4B6E">
        <w:rPr>
          <w:noProof/>
          <w:color w:val="000000"/>
        </w:rPr>
        <w:t xml:space="preserve">Qi </w:t>
      </w:r>
      <w:r w:rsidRPr="00BB4B6E">
        <w:rPr>
          <w:i/>
          <w:noProof/>
          <w:color w:val="000000"/>
        </w:rPr>
        <w:t>et al</w:t>
      </w:r>
      <w:r w:rsidRPr="00BB4B6E">
        <w:rPr>
          <w:noProof/>
          <w:color w:val="000000"/>
        </w:rPr>
        <w:t>., 2020</w:t>
      </w:r>
      <w:r w:rsidR="00C226E6" w:rsidRPr="00BB4B6E">
        <w:rPr>
          <w:color w:val="000000"/>
        </w:rPr>
        <w:fldChar w:fldCharType="end"/>
      </w:r>
      <w:r w:rsidRPr="00BB4B6E">
        <w:rPr>
          <w:color w:val="000000"/>
        </w:rPr>
        <w:t xml:space="preserve">; Mohammad </w:t>
      </w:r>
      <w:r w:rsidRPr="00BB4B6E">
        <w:rPr>
          <w:i/>
          <w:color w:val="000000"/>
        </w:rPr>
        <w:t>et al.,</w:t>
      </w:r>
      <w:r w:rsidRPr="00BB4B6E">
        <w:rPr>
          <w:color w:val="000000"/>
        </w:rPr>
        <w:t xml:space="preserve"> 2019). Other researchers have used nanoparticles to lower Pb uptake in the study plants. For example, </w:t>
      </w:r>
      <w:r w:rsidR="00C226E6" w:rsidRPr="00BB4B6E">
        <w:rPr>
          <w:color w:val="000000"/>
        </w:rPr>
        <w:fldChar w:fldCharType="begin" w:fldLock="1"/>
      </w:r>
      <w:r w:rsidRPr="00BB4B6E">
        <w:rPr>
          <w:color w:val="000000"/>
        </w:rPr>
        <w:instrText>ADDIN CSL_CITATION {"citationItems":[{"id":"ITEM-1","itemData":{"author":[{"dropping-particle":"","family":"Joshi","given":"A.","non-dropping-particle":"","parse-names":false,"suffix":""},{"dropping-particle":"","family":"Kaur","given":"S.","non-dropping-particle":"","parse-names":false,"suffix":""},{"dropping-particle":"","family":"Dharamvir","given":"K.","non-dropping-particle":"","parse-names":false,"suffix":""},{"dropping-particle":"","family":"Nayyar","given":"H.","non-dropping-particle":"","parse-names":false,"suffix":""},{"dropping-particle":"","family":"Verma","given":"G.","non-dropping-particle":"","parse-names":false,"suffix":""}],"container-title":"Journal of Science and Food Agriculture.","id":"ITEM-1","issued":{"date-parts":[["2018"]]},"page":"3148–3160.","title":"Multi-walled carbon nanotubes applied through seed-priming influence early germination, root hair, growth and yield of bread wheat (Triticum aestivum L.)","type":"article-journal","volume":"98"},"uris":["http://www.mendeley.com/documents/?uuid=82159b39-f43c-42bb-a788-e13f322bbf09"]}],"mendeley":{"formattedCitation":"(Joshi et al., 2018)","manualFormatting":"Joshi et al.(2018)","plainTextFormattedCitation":"(Joshi et al., 2018)","previouslyFormattedCitation":"(Joshi et al., 2018)"},"properties":{"noteIndex":0},"schema":"https://github.com/citation-style-language/schema/raw/master/csl-citation.json"}</w:instrText>
      </w:r>
      <w:r w:rsidR="00C226E6" w:rsidRPr="00BB4B6E">
        <w:rPr>
          <w:color w:val="000000"/>
        </w:rPr>
        <w:fldChar w:fldCharType="separate"/>
      </w:r>
      <w:r w:rsidRPr="00BB4B6E">
        <w:rPr>
          <w:noProof/>
          <w:color w:val="000000"/>
        </w:rPr>
        <w:t xml:space="preserve">Zhangwei </w:t>
      </w:r>
      <w:r w:rsidRPr="00BB4B6E">
        <w:rPr>
          <w:i/>
          <w:noProof/>
          <w:color w:val="000000"/>
        </w:rPr>
        <w:t xml:space="preserve">et al. </w:t>
      </w:r>
      <w:r w:rsidRPr="00BB4B6E">
        <w:rPr>
          <w:noProof/>
          <w:color w:val="000000"/>
        </w:rPr>
        <w:t>(2019)</w:t>
      </w:r>
      <w:r w:rsidR="00C226E6" w:rsidRPr="00BB4B6E">
        <w:rPr>
          <w:color w:val="000000"/>
        </w:rPr>
        <w:fldChar w:fldCharType="end"/>
      </w:r>
      <w:r w:rsidRPr="00BB4B6E">
        <w:rPr>
          <w:color w:val="000000"/>
        </w:rPr>
        <w:t xml:space="preserve"> reduced Pb uptake in soy bean by 58.1 % using synthetic nHA nanoparticles while commercial fertilizers increased Pb uptake by 14 %. Similarly, nanoparticles have been used to immobilize Pb heavy metals like </w:t>
      </w:r>
      <w:r>
        <w:rPr>
          <w:color w:val="000000"/>
        </w:rPr>
        <w:t xml:space="preserve">in </w:t>
      </w:r>
      <w:r w:rsidRPr="00BB4B6E">
        <w:rPr>
          <w:color w:val="000000"/>
        </w:rPr>
        <w:t xml:space="preserve">the research conducted by </w:t>
      </w:r>
      <w:r w:rsidR="00C226E6" w:rsidRPr="00BB4B6E">
        <w:rPr>
          <w:color w:val="000000"/>
        </w:rPr>
        <w:fldChar w:fldCharType="begin" w:fldLock="1"/>
      </w:r>
      <w:r w:rsidRPr="00BB4B6E">
        <w:rPr>
          <w:color w:val="000000"/>
        </w:rPr>
        <w:instrText>ADDIN CSL_CITATION {"citationItems":[{"id":"ITEM-1","itemData":{"author":[{"dropping-particle":"","family":"Shojaei","given":"T.R.","non-dropping-particle":"","parse-names":false,"suffix":""},{"dropping-particle":"","family":"Salleh","given":"M.A.M.","non-dropping-particle":"","parse-names":false,"suffix":""},{"dropping-particle":"","family":"Tabatabaei","given":"M.","non-dropping-particle":"","parse-names":false,"suffix":""},{"dropping-particle":"","family":"Mobli","given":"H.","non-dropping-particle":"","parse-names":false,"suffix":""},{"dropping-particle":"","family":"Aghbashlo","given":"M.","non-dropping-particle":"","parse-names":false,"suffix":""},{"dropping-particle":"","family":"Rashid","given":"S.A.","non-dropping-particle":"","parse-names":false,"suffix":""},{"dropping-particle":"","family":"Tan","given":"T.","non-dropping-particle":"","parse-names":false,"suffix":""}],"container-title":"The Netherlands","id":"ITEM-1","issued":{"date-parts":[["2019"]]},"page":"247–277.","title":"Applications of nanotechnology and carbon nanoparticles in agriculture. In synthesis, technology and applications of carbon nanomaterials; Suraya, A.R., Raja, N.I.R.O., Mohd, Z.H., Eds.; Elsevier:","type":"article-journal","volume":"214"},"uris":["http://www.mendeley.com/documents/?uuid=b1e378e3-7dbf-4b24-80b4-2b2cc0c3a122"]}],"mendeley":{"formattedCitation":"(Shojaei et al., 2019)","manualFormatting":"Shojaei et al.(2019)","plainTextFormattedCitation":"(Shojaei et al., 2019)","previouslyFormattedCitation":"(Shojaei et al., 2019)"},"properties":{"noteIndex":0},"schema":"https://github.com/citation-style-language/schema/raw/master/csl-citation.json"}</w:instrText>
      </w:r>
      <w:r w:rsidR="00C226E6" w:rsidRPr="00BB4B6E">
        <w:rPr>
          <w:color w:val="000000"/>
        </w:rPr>
        <w:fldChar w:fldCharType="separate"/>
      </w:r>
      <w:r w:rsidRPr="00BB4B6E">
        <w:rPr>
          <w:noProof/>
          <w:color w:val="000000"/>
        </w:rPr>
        <w:t xml:space="preserve">Qi </w:t>
      </w:r>
      <w:r w:rsidRPr="00BB4B6E">
        <w:rPr>
          <w:i/>
          <w:noProof/>
          <w:color w:val="000000"/>
        </w:rPr>
        <w:t>et al</w:t>
      </w:r>
      <w:r w:rsidRPr="00BB4B6E">
        <w:rPr>
          <w:noProof/>
          <w:color w:val="000000"/>
        </w:rPr>
        <w:t>.(2020)</w:t>
      </w:r>
      <w:r w:rsidR="00C226E6" w:rsidRPr="00BB4B6E">
        <w:rPr>
          <w:color w:val="000000"/>
        </w:rPr>
        <w:fldChar w:fldCharType="end"/>
      </w:r>
      <w:r w:rsidRPr="00BB4B6E">
        <w:rPr>
          <w:color w:val="000000"/>
        </w:rPr>
        <w:t xml:space="preserve"> who used composite nanoparticles to immobilize heavy metals in experimental soils while </w:t>
      </w:r>
      <w:r w:rsidR="00C226E6" w:rsidRPr="00BB4B6E">
        <w:rPr>
          <w:color w:val="000000"/>
        </w:rPr>
        <w:fldChar w:fldCharType="begin" w:fldLock="1"/>
      </w:r>
      <w:r w:rsidRPr="00BB4B6E">
        <w:rPr>
          <w:color w:val="000000"/>
        </w:rPr>
        <w:instrText>ADDIN CSL_CITATION {"citationItems":[{"id":"ITEM-1","itemData":{"author":[{"dropping-particle":"","family":"Kumar","given":"V.","non-dropping-particle":"","parse-names":false,"suffix":""},{"dropping-particle":"","family":"Guleria","given":"P.","non-dropping-particle":"","parse-names":false,"suffix":""},{"dropping-particle":"","family":"Kumar","given":"V.","non-dropping-particle":"","parse-names":false,"suffix":""},{"dropping-particle":"","family":"Yadav","given":"S. K.","non-dropping-particle":"","parse-names":false,"suffix":""}],"container-title":"Science Total Environment","id":"ITEM-1","issued":{"date-parts":[["2013"]]},"page":"462–468.","title":"Gold nanoparticle exposure induces growth and yield enhancement in Arabidopsis thaliana.","type":"article-journal","volume":"86"},"uris":["http://www.mendeley.com/documents/?uuid=4b17a1c3-cd12-4973-bfcf-4d4bc6f39040"]}],"mendeley":{"formattedCitation":"(Kumar et al., 2013)","manualFormatting":"Kumar et al.(2013)","plainTextFormattedCitation":"(Kumar et al., 2013)","previouslyFormattedCitation":"(Kumar et al., 2013)"},"properties":{"noteIndex":0},"schema":"https://github.com/citation-style-language/schema/raw/master/csl-citation.json"}</w:instrText>
      </w:r>
      <w:r w:rsidR="00C226E6" w:rsidRPr="00BB4B6E">
        <w:rPr>
          <w:color w:val="000000"/>
        </w:rPr>
        <w:fldChar w:fldCharType="separate"/>
      </w:r>
      <w:r w:rsidRPr="00BB4B6E">
        <w:rPr>
          <w:color w:val="000000"/>
        </w:rPr>
        <w:t xml:space="preserve">Konate </w:t>
      </w:r>
      <w:r w:rsidRPr="00BB4B6E">
        <w:rPr>
          <w:i/>
          <w:noProof/>
          <w:color w:val="000000"/>
        </w:rPr>
        <w:t>et al.</w:t>
      </w:r>
      <w:r w:rsidRPr="00BB4B6E">
        <w:rPr>
          <w:noProof/>
          <w:color w:val="000000"/>
        </w:rPr>
        <w:t>(2014)</w:t>
      </w:r>
      <w:r w:rsidR="00C226E6" w:rsidRPr="00BB4B6E">
        <w:rPr>
          <w:color w:val="000000"/>
        </w:rPr>
        <w:fldChar w:fldCharType="end"/>
      </w:r>
      <w:r w:rsidRPr="00BB4B6E">
        <w:rPr>
          <w:color w:val="000000"/>
        </w:rPr>
        <w:t xml:space="preserve"> used magnetite nanoparticles to immobilize heavy metals and enhance growth in plants.</w:t>
      </w:r>
    </w:p>
    <w:p w:rsidR="00F934C1" w:rsidRPr="00BB4B6E" w:rsidRDefault="00F934C1" w:rsidP="00F934C1"/>
    <w:p w:rsidR="00F934C1" w:rsidRPr="00BB4B6E" w:rsidRDefault="00F934C1" w:rsidP="00F934C1">
      <w:pPr>
        <w:pStyle w:val="Heading2"/>
        <w:spacing w:before="0"/>
        <w:rPr>
          <w:rFonts w:cs="Times New Roman"/>
          <w:szCs w:val="24"/>
        </w:rPr>
      </w:pPr>
      <w:bookmarkStart w:id="211" w:name="_Toc144820061"/>
      <w:r w:rsidRPr="00BB4B6E">
        <w:rPr>
          <w:rFonts w:cs="Times New Roman"/>
          <w:szCs w:val="24"/>
        </w:rPr>
        <w:t>4.5 Growth Performance of Crops Grown Using Nano-fertilizers</w:t>
      </w:r>
      <w:bookmarkEnd w:id="211"/>
    </w:p>
    <w:p w:rsidR="00F934C1" w:rsidRPr="00BB4B6E" w:rsidRDefault="00F934C1" w:rsidP="00F934C1">
      <w:pPr>
        <w:pStyle w:val="Heading3"/>
        <w:spacing w:before="0"/>
        <w:rPr>
          <w:rFonts w:cs="Times New Roman"/>
        </w:rPr>
      </w:pPr>
      <w:bookmarkStart w:id="212" w:name="_Toc144820062"/>
      <w:r w:rsidRPr="00BB4B6E">
        <w:rPr>
          <w:rFonts w:cs="Times New Roman"/>
        </w:rPr>
        <w:t>4.5.1 Plant Height Growth Performance</w:t>
      </w:r>
      <w:bookmarkEnd w:id="212"/>
    </w:p>
    <w:p w:rsidR="00F934C1" w:rsidRPr="00BB4B6E" w:rsidRDefault="00F934C1" w:rsidP="00F934C1">
      <w:r w:rsidRPr="00BB4B6E">
        <w:t xml:space="preserve">The height growth performance of kales, spinach and beans </w:t>
      </w:r>
      <w:r w:rsidRPr="00BB4B6E">
        <w:rPr>
          <w:color w:val="0E101A"/>
        </w:rPr>
        <w:t xml:space="preserve">grown in a greenhouse at 27 </w:t>
      </w:r>
      <w:r w:rsidRPr="00BB4B6E">
        <w:rPr>
          <w:color w:val="0E101A"/>
          <w:vertAlign w:val="superscript"/>
        </w:rPr>
        <w:t>0</w:t>
      </w:r>
      <w:r w:rsidRPr="00BB4B6E">
        <w:rPr>
          <w:color w:val="0E101A"/>
        </w:rPr>
        <w:t xml:space="preserve">C using Synthetic and bone hydroxyapatite nano-fertilizers </w:t>
      </w:r>
      <w:r w:rsidRPr="00BB4B6E">
        <w:t>at 30, 60 and 90 days are presented for kale height (Tables 4.11), spinach height (Table 4.12), bean height (Table 4.13).</w:t>
      </w:r>
      <w:bookmarkStart w:id="213" w:name="_Toc85455566"/>
      <w:bookmarkStart w:id="214" w:name="_Toc62228769"/>
    </w:p>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Pr>
        <w:pStyle w:val="Caption"/>
        <w:rPr>
          <w:color w:val="auto"/>
          <w:sz w:val="24"/>
          <w:szCs w:val="24"/>
        </w:rPr>
      </w:pPr>
      <w:bookmarkStart w:id="215" w:name="_Toc112877975"/>
      <w:bookmarkStart w:id="216" w:name="_Toc112880606"/>
    </w:p>
    <w:p w:rsidR="00F934C1" w:rsidRPr="00BB4B6E" w:rsidRDefault="00F934C1" w:rsidP="00F934C1">
      <w:pPr>
        <w:pStyle w:val="Caption"/>
        <w:rPr>
          <w:color w:val="auto"/>
          <w:sz w:val="24"/>
          <w:szCs w:val="24"/>
        </w:rPr>
      </w:pPr>
    </w:p>
    <w:p w:rsidR="00F934C1" w:rsidRPr="00BB4B6E" w:rsidRDefault="00F934C1" w:rsidP="00F934C1">
      <w:pPr>
        <w:autoSpaceDE/>
        <w:autoSpaceDN/>
        <w:adjustRightInd/>
        <w:spacing w:after="200" w:line="276" w:lineRule="auto"/>
        <w:jc w:val="left"/>
        <w:rPr>
          <w:b/>
          <w:bCs/>
        </w:rPr>
      </w:pPr>
      <w:r w:rsidRPr="00BB4B6E">
        <w:br w:type="page"/>
      </w:r>
    </w:p>
    <w:p w:rsidR="00F934C1" w:rsidRPr="00BB4B6E" w:rsidRDefault="00F934C1" w:rsidP="00F934C1">
      <w:pPr>
        <w:pStyle w:val="Heading4"/>
        <w:rPr>
          <w:lang w:eastAsia="sw-KE"/>
        </w:rPr>
      </w:pPr>
      <w:bookmarkStart w:id="217" w:name="_Toc120047577"/>
      <w:bookmarkStart w:id="218" w:name="_Toc144222342"/>
      <w:r w:rsidRPr="00BB4B6E">
        <w:lastRenderedPageBreak/>
        <w:t>Table 4.11</w:t>
      </w:r>
      <w:r w:rsidRPr="00BB4B6E">
        <w:rPr>
          <w:lang w:eastAsia="sw-KE"/>
        </w:rPr>
        <w:t>: The 30, 60, 90 day Heights (cm) for kales grown using nano-fertilizers</w:t>
      </w:r>
      <w:bookmarkEnd w:id="213"/>
      <w:bookmarkEnd w:id="215"/>
      <w:bookmarkEnd w:id="216"/>
      <w:bookmarkEnd w:id="217"/>
      <w:bookmarkEnd w:id="218"/>
    </w:p>
    <w:tbl>
      <w:tblPr>
        <w:tblW w:w="8146" w:type="dxa"/>
        <w:tblInd w:w="-32" w:type="dxa"/>
        <w:tblCellMar>
          <w:left w:w="0" w:type="dxa"/>
          <w:right w:w="0" w:type="dxa"/>
        </w:tblCellMar>
        <w:tblLook w:val="04A0" w:firstRow="1" w:lastRow="0" w:firstColumn="1" w:lastColumn="0" w:noHBand="0" w:noVBand="1"/>
      </w:tblPr>
      <w:tblGrid>
        <w:gridCol w:w="2610"/>
        <w:gridCol w:w="1710"/>
        <w:gridCol w:w="1710"/>
        <w:gridCol w:w="1710"/>
        <w:gridCol w:w="406"/>
      </w:tblGrid>
      <w:tr w:rsidR="00F934C1" w:rsidRPr="00BB4B6E" w:rsidTr="00F934C1">
        <w:trPr>
          <w:trHeight w:val="800"/>
        </w:trPr>
        <w:tc>
          <w:tcPr>
            <w:tcW w:w="261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513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rFonts w:eastAsia="Calibri"/>
                <w:b/>
                <w:bCs/>
                <w:color w:val="000000"/>
                <w:kern w:val="24"/>
              </w:rPr>
              <w:t xml:space="preserve">Height; </w:t>
            </w:r>
            <w:r w:rsidRPr="00BB4B6E">
              <w:rPr>
                <w:b/>
                <w:color w:val="000000"/>
              </w:rPr>
              <w:t>Mean± SD</w:t>
            </w:r>
            <w:r w:rsidRPr="00BB4B6E">
              <w:rPr>
                <w:rFonts w:eastAsia="Calibri"/>
                <w:b/>
                <w:bCs/>
                <w:color w:val="000000"/>
                <w:kern w:val="24"/>
              </w:rPr>
              <w:t xml:space="preserve"> (cm)</w:t>
            </w:r>
          </w:p>
          <w:p w:rsidR="00F934C1" w:rsidRPr="00BB4B6E" w:rsidRDefault="00F934C1" w:rsidP="00F934C1">
            <w:pPr>
              <w:autoSpaceDE/>
              <w:autoSpaceDN/>
              <w:adjustRightInd/>
              <w:spacing w:line="276" w:lineRule="auto"/>
              <w:ind w:left="187"/>
              <w:jc w:val="center"/>
            </w:pPr>
            <w:r w:rsidRPr="00BB4B6E">
              <w:rPr>
                <w:b/>
                <w:color w:val="000000"/>
              </w:rPr>
              <w:t>n=9</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61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71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30 days</w:t>
            </w:r>
          </w:p>
        </w:tc>
        <w:tc>
          <w:tcPr>
            <w:tcW w:w="171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60 days</w:t>
            </w:r>
          </w:p>
        </w:tc>
        <w:tc>
          <w:tcPr>
            <w:tcW w:w="171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90 days</w:t>
            </w:r>
          </w:p>
        </w:tc>
        <w:tc>
          <w:tcPr>
            <w:tcW w:w="406"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61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Bone nHA</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29.67±1.20</w:t>
            </w:r>
            <w:r w:rsidRPr="00BB4B6E">
              <w:rPr>
                <w:rFonts w:eastAsia="Calibri"/>
                <w:color w:val="000000"/>
                <w:kern w:val="24"/>
                <w:position w:val="7"/>
                <w:vertAlign w:val="superscript"/>
              </w:rPr>
              <w:t>bA</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67.00±2.52</w:t>
            </w:r>
            <w:r w:rsidRPr="00BB4B6E">
              <w:rPr>
                <w:rFonts w:eastAsia="Calibri"/>
                <w:color w:val="000000"/>
                <w:kern w:val="24"/>
                <w:position w:val="7"/>
                <w:vertAlign w:val="superscript"/>
              </w:rPr>
              <w:t>eB</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88.00±2.65</w:t>
            </w:r>
            <w:r w:rsidRPr="00BB4B6E">
              <w:rPr>
                <w:rFonts w:eastAsia="Calibri"/>
                <w:color w:val="000000"/>
                <w:kern w:val="24"/>
                <w:position w:val="7"/>
                <w:vertAlign w:val="superscript"/>
              </w:rPr>
              <w:t>eC</w:t>
            </w:r>
          </w:p>
        </w:tc>
        <w:tc>
          <w:tcPr>
            <w:tcW w:w="406"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236"/>
        </w:trPr>
        <w:tc>
          <w:tcPr>
            <w:tcW w:w="261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Syn nHA</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25.33±0.88</w:t>
            </w:r>
            <w:r w:rsidRPr="00BB4B6E">
              <w:rPr>
                <w:rFonts w:eastAsia="Calibri"/>
                <w:color w:val="000000"/>
                <w:kern w:val="24"/>
                <w:position w:val="7"/>
                <w:vertAlign w:val="superscript"/>
              </w:rPr>
              <w:t>aA</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63.33±1.45</w:t>
            </w:r>
            <w:r w:rsidRPr="00BB4B6E">
              <w:rPr>
                <w:rFonts w:eastAsia="Calibri"/>
                <w:color w:val="000000"/>
                <w:kern w:val="24"/>
                <w:position w:val="7"/>
                <w:vertAlign w:val="superscript"/>
              </w:rPr>
              <w:t>dB</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83.67±3.18</w:t>
            </w:r>
            <w:r w:rsidRPr="00BB4B6E">
              <w:rPr>
                <w:rFonts w:eastAsia="Calibri"/>
                <w:color w:val="000000"/>
                <w:kern w:val="24"/>
                <w:position w:val="7"/>
                <w:vertAlign w:val="superscript"/>
              </w:rPr>
              <w:t>dC</w:t>
            </w:r>
          </w:p>
        </w:tc>
        <w:tc>
          <w:tcPr>
            <w:tcW w:w="406" w:type="dxa"/>
            <w:vMerge/>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rPr>
                <w:rFonts w:eastAsia="Calibri"/>
                <w:color w:val="000000"/>
                <w:kern w:val="24"/>
              </w:rPr>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 xml:space="preserve">Bone nHA +DAP </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31.00±1.15</w:t>
            </w:r>
            <w:r w:rsidRPr="00BB4B6E">
              <w:rPr>
                <w:rFonts w:eastAsia="Calibri"/>
                <w:color w:val="000000"/>
                <w:kern w:val="24"/>
                <w:position w:val="7"/>
                <w:vertAlign w:val="superscript"/>
              </w:rPr>
              <w:t>cA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68.33±2.03</w:t>
            </w:r>
            <w:r w:rsidRPr="00BB4B6E">
              <w:rPr>
                <w:rFonts w:eastAsia="Calibri"/>
                <w:color w:val="000000"/>
                <w:kern w:val="24"/>
                <w:position w:val="7"/>
                <w:vertAlign w:val="superscript"/>
              </w:rPr>
              <w:t>eB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87.67±1.76</w:t>
            </w:r>
            <w:r w:rsidRPr="00BB4B6E">
              <w:rPr>
                <w:rFonts w:eastAsia="Calibri"/>
                <w:color w:val="000000"/>
                <w:kern w:val="24"/>
                <w:position w:val="7"/>
                <w:vertAlign w:val="superscript"/>
              </w:rPr>
              <w:t>fC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Syn nHA +DAP </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26.67±1.76</w:t>
            </w:r>
            <w:r w:rsidRPr="00BB4B6E">
              <w:rPr>
                <w:rFonts w:eastAsia="Calibri"/>
                <w:color w:val="000000"/>
                <w:kern w:val="24"/>
                <w:position w:val="7"/>
                <w:vertAlign w:val="superscript"/>
              </w:rPr>
              <w:t>aA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65.67±3.18</w:t>
            </w:r>
            <w:r w:rsidRPr="00BB4B6E">
              <w:rPr>
                <w:rFonts w:eastAsia="Calibri"/>
                <w:color w:val="000000"/>
                <w:kern w:val="24"/>
                <w:position w:val="7"/>
                <w:vertAlign w:val="superscript"/>
              </w:rPr>
              <w:t>deB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83.67±0.88</w:t>
            </w:r>
            <w:r w:rsidRPr="00BB4B6E">
              <w:rPr>
                <w:rFonts w:eastAsia="Calibri"/>
                <w:color w:val="000000"/>
                <w:kern w:val="24"/>
                <w:position w:val="7"/>
                <w:vertAlign w:val="superscript"/>
              </w:rPr>
              <w:t>dC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 xml:space="preserve">Bone nHA+ NPK  </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31.10±1.53</w:t>
            </w:r>
            <w:r w:rsidRPr="00BB4B6E">
              <w:rPr>
                <w:rFonts w:eastAsia="Calibri"/>
                <w:color w:val="000000"/>
                <w:kern w:val="24"/>
                <w:position w:val="7"/>
                <w:vertAlign w:val="superscript"/>
              </w:rPr>
              <w:t>cA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69.67±3.48</w:t>
            </w:r>
            <w:r w:rsidRPr="00BB4B6E">
              <w:rPr>
                <w:rFonts w:eastAsia="Calibri"/>
                <w:color w:val="000000"/>
                <w:kern w:val="24"/>
                <w:position w:val="7"/>
                <w:vertAlign w:val="superscript"/>
              </w:rPr>
              <w:t>dB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97.33±1.45</w:t>
            </w:r>
            <w:r w:rsidRPr="00BB4B6E">
              <w:rPr>
                <w:rFonts w:eastAsia="Calibri"/>
                <w:color w:val="000000"/>
                <w:kern w:val="24"/>
                <w:position w:val="7"/>
                <w:vertAlign w:val="superscript"/>
              </w:rPr>
              <w:t>hC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Syn nHA+ NPK  </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26.67±3.18</w:t>
            </w:r>
            <w:r w:rsidRPr="00BB4B6E">
              <w:rPr>
                <w:rFonts w:eastAsia="Calibri"/>
                <w:color w:val="000000"/>
                <w:kern w:val="24"/>
                <w:position w:val="7"/>
                <w:vertAlign w:val="superscript"/>
              </w:rPr>
              <w:t>aA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56.33±1.76</w:t>
            </w:r>
            <w:r w:rsidRPr="00BB4B6E">
              <w:rPr>
                <w:rFonts w:eastAsia="Calibri"/>
                <w:color w:val="000000"/>
                <w:kern w:val="24"/>
                <w:position w:val="7"/>
                <w:vertAlign w:val="superscript"/>
              </w:rPr>
              <w:t>cB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93.00±1.15</w:t>
            </w:r>
            <w:r w:rsidRPr="00BB4B6E">
              <w:rPr>
                <w:rFonts w:eastAsia="Calibri"/>
                <w:color w:val="000000"/>
                <w:kern w:val="24"/>
                <w:position w:val="7"/>
                <w:vertAlign w:val="superscript"/>
              </w:rPr>
              <w:t>g</w:t>
            </w:r>
            <w:r>
              <w:rPr>
                <w:rFonts w:eastAsia="Calibri"/>
                <w:color w:val="000000"/>
                <w:kern w:val="24"/>
                <w:position w:val="7"/>
                <w:vertAlign w:val="superscript"/>
              </w:rPr>
              <w:t>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Bone nHA+DAP+NPK</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30.00±1.15</w:t>
            </w:r>
            <w:r w:rsidRPr="00BB4B6E">
              <w:rPr>
                <w:rFonts w:eastAsia="Calibri"/>
                <w:color w:val="000000"/>
                <w:kern w:val="24"/>
                <w:position w:val="7"/>
                <w:vertAlign w:val="superscript"/>
              </w:rPr>
              <w:t>cA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64.00±3.21</w:t>
            </w:r>
            <w:r w:rsidRPr="00BB4B6E">
              <w:rPr>
                <w:rFonts w:eastAsia="Calibri"/>
                <w:color w:val="000000"/>
                <w:kern w:val="24"/>
                <w:position w:val="7"/>
                <w:vertAlign w:val="superscript"/>
              </w:rPr>
              <w:t>deB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88.00±1.53</w:t>
            </w:r>
            <w:r w:rsidRPr="00BB4B6E">
              <w:rPr>
                <w:rFonts w:eastAsia="Calibri"/>
                <w:color w:val="000000"/>
                <w:kern w:val="24"/>
                <w:position w:val="7"/>
                <w:vertAlign w:val="superscript"/>
              </w:rPr>
              <w:t>fC</w:t>
            </w:r>
          </w:p>
        </w:tc>
        <w:tc>
          <w:tcPr>
            <w:tcW w:w="406"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Syn nHA+DAP+NPK</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26.67±1.76</w:t>
            </w:r>
            <w:r w:rsidRPr="00BB4B6E">
              <w:rPr>
                <w:rFonts w:eastAsia="Calibri"/>
                <w:color w:val="000000"/>
                <w:kern w:val="24"/>
                <w:position w:val="7"/>
                <w:vertAlign w:val="superscript"/>
              </w:rPr>
              <w:t>aA</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57.67±2.85</w:t>
            </w:r>
            <w:r w:rsidRPr="00BB4B6E">
              <w:rPr>
                <w:rFonts w:eastAsia="Calibri"/>
                <w:color w:val="000000"/>
                <w:kern w:val="24"/>
                <w:position w:val="7"/>
                <w:vertAlign w:val="superscript"/>
              </w:rPr>
              <w:t>cB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70.33±0.88</w:t>
            </w:r>
            <w:r w:rsidRPr="00BB4B6E">
              <w:rPr>
                <w:rFonts w:eastAsia="Calibri"/>
                <w:color w:val="000000"/>
                <w:kern w:val="24"/>
                <w:position w:val="7"/>
                <w:vertAlign w:val="superscript"/>
              </w:rPr>
              <w:t>cC</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DAP</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35.00±0.58</w:t>
            </w:r>
            <w:r w:rsidRPr="00BB4B6E">
              <w:rPr>
                <w:rFonts w:eastAsia="Calibri"/>
                <w:color w:val="000000"/>
                <w:kern w:val="24"/>
                <w:position w:val="7"/>
                <w:vertAlign w:val="superscript"/>
              </w:rPr>
              <w:t>dA</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39.00±0.58</w:t>
            </w:r>
            <w:r w:rsidRPr="00BB4B6E">
              <w:rPr>
                <w:rFonts w:eastAsia="Calibri"/>
                <w:color w:val="000000"/>
                <w:kern w:val="24"/>
                <w:position w:val="7"/>
                <w:vertAlign w:val="superscript"/>
              </w:rPr>
              <w:t>bB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46.00±1.73</w:t>
            </w:r>
            <w:r w:rsidRPr="00BB4B6E">
              <w:rPr>
                <w:rFonts w:eastAsia="Calibri"/>
                <w:color w:val="000000"/>
                <w:kern w:val="24"/>
                <w:position w:val="7"/>
                <w:vertAlign w:val="superscript"/>
              </w:rPr>
              <w:t>bC</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NPK </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28.00±1.53</w:t>
            </w:r>
            <w:r w:rsidRPr="00BB4B6E">
              <w:rPr>
                <w:rFonts w:eastAsia="Calibri"/>
                <w:color w:val="000000"/>
                <w:kern w:val="24"/>
                <w:position w:val="7"/>
                <w:vertAlign w:val="superscript"/>
              </w:rPr>
              <w:t>bA</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41.00±1.15</w:t>
            </w:r>
            <w:r w:rsidRPr="00BB4B6E">
              <w:rPr>
                <w:rFonts w:eastAsia="Calibri"/>
                <w:color w:val="000000"/>
                <w:kern w:val="24"/>
                <w:position w:val="7"/>
                <w:vertAlign w:val="superscript"/>
              </w:rPr>
              <w:t>bB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44.67±1.86</w:t>
            </w:r>
            <w:r w:rsidRPr="00BB4B6E">
              <w:rPr>
                <w:rFonts w:eastAsia="Calibri"/>
                <w:color w:val="000000"/>
                <w:kern w:val="24"/>
                <w:position w:val="7"/>
                <w:vertAlign w:val="superscript"/>
              </w:rPr>
              <w:t>bC</w:t>
            </w:r>
          </w:p>
        </w:tc>
        <w:tc>
          <w:tcPr>
            <w:tcW w:w="406"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DAP+NPK </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28.67±2.19</w:t>
            </w:r>
            <w:r w:rsidRPr="00BB4B6E">
              <w:rPr>
                <w:rFonts w:eastAsia="Calibri"/>
                <w:color w:val="000000"/>
                <w:kern w:val="24"/>
                <w:position w:val="7"/>
                <w:vertAlign w:val="superscript"/>
              </w:rPr>
              <w:t>bA</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40.00±0.58</w:t>
            </w:r>
            <w:r w:rsidRPr="00BB4B6E">
              <w:rPr>
                <w:rFonts w:eastAsia="Calibri"/>
                <w:color w:val="000000"/>
                <w:kern w:val="24"/>
                <w:position w:val="7"/>
                <w:vertAlign w:val="superscript"/>
              </w:rPr>
              <w:t>bB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46.67±1.45</w:t>
            </w:r>
            <w:r w:rsidRPr="00BB4B6E">
              <w:rPr>
                <w:rFonts w:eastAsia="Calibri"/>
                <w:color w:val="000000"/>
                <w:kern w:val="24"/>
                <w:position w:val="7"/>
                <w:vertAlign w:val="superscript"/>
              </w:rPr>
              <w:t>bC</w:t>
            </w:r>
          </w:p>
        </w:tc>
        <w:tc>
          <w:tcPr>
            <w:tcW w:w="406"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Non-treated control</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25.67±0.88</w:t>
            </w:r>
            <w:r w:rsidRPr="00BB4B6E">
              <w:rPr>
                <w:rFonts w:eastAsia="Calibri"/>
                <w:color w:val="000000"/>
                <w:kern w:val="24"/>
                <w:position w:val="7"/>
                <w:vertAlign w:val="superscript"/>
              </w:rPr>
              <w:t>aA</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30.00±0.58</w:t>
            </w:r>
            <w:r w:rsidRPr="00BB4B6E">
              <w:rPr>
                <w:rFonts w:eastAsia="Calibri"/>
                <w:color w:val="000000"/>
                <w:kern w:val="24"/>
                <w:position w:val="7"/>
                <w:vertAlign w:val="superscript"/>
              </w:rPr>
              <w:t>aB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33.00±1.15</w:t>
            </w:r>
            <w:r w:rsidRPr="00BB4B6E">
              <w:rPr>
                <w:rFonts w:eastAsia="Calibri"/>
                <w:color w:val="000000"/>
                <w:kern w:val="24"/>
                <w:position w:val="7"/>
                <w:vertAlign w:val="superscript"/>
              </w:rPr>
              <w:t>aC</w:t>
            </w:r>
          </w:p>
        </w:tc>
        <w:tc>
          <w:tcPr>
            <w:tcW w:w="406"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61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71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71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P-value ˂0.01</w:t>
            </w:r>
          </w:p>
        </w:tc>
        <w:tc>
          <w:tcPr>
            <w:tcW w:w="171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406"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bookmarkEnd w:id="214"/>
    <w:p w:rsidR="00F934C1" w:rsidRPr="00BB4B6E" w:rsidRDefault="00F934C1" w:rsidP="00F934C1">
      <w:pPr>
        <w:spacing w:line="240" w:lineRule="auto"/>
        <w:rPr>
          <w:lang w:val="sw-KE" w:eastAsia="sw-KE"/>
        </w:rPr>
      </w:pPr>
      <w:r w:rsidRPr="00BB4B6E">
        <w:rPr>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spacing w:line="240" w:lineRule="auto"/>
        <w:rPr>
          <w:lang w:val="sw-KE" w:eastAsia="sw-KE"/>
        </w:rPr>
      </w:pPr>
    </w:p>
    <w:p w:rsidR="00F934C1" w:rsidRPr="00BB4B6E" w:rsidRDefault="00F934C1" w:rsidP="00F934C1">
      <w:pPr>
        <w:spacing w:line="240" w:lineRule="auto"/>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Pr="00BB4B6E" w:rsidRDefault="00F934C1" w:rsidP="00F934C1"/>
    <w:p w:rsidR="00F934C1" w:rsidRPr="00BB4B6E" w:rsidRDefault="00F934C1" w:rsidP="00F934C1">
      <w:pPr>
        <w:autoSpaceDE/>
        <w:autoSpaceDN/>
        <w:adjustRightInd/>
        <w:spacing w:after="200" w:line="276" w:lineRule="auto"/>
        <w:jc w:val="left"/>
        <w:rPr>
          <w:b/>
          <w:bCs/>
        </w:rPr>
      </w:pPr>
      <w:r w:rsidRPr="00BB4B6E">
        <w:br w:type="page"/>
      </w:r>
    </w:p>
    <w:p w:rsidR="00F934C1" w:rsidRPr="008503B0" w:rsidRDefault="00F934C1" w:rsidP="00F934C1">
      <w:pPr>
        <w:pStyle w:val="Heading4"/>
      </w:pPr>
      <w:bookmarkStart w:id="219" w:name="_Toc120047578"/>
      <w:bookmarkStart w:id="220" w:name="_Toc112877976"/>
      <w:bookmarkStart w:id="221" w:name="_Toc112880607"/>
      <w:bookmarkStart w:id="222" w:name="_Toc144222343"/>
      <w:r w:rsidRPr="008503B0">
        <w:lastRenderedPageBreak/>
        <w:t>Table 4.12: The 30, 60, 90 day Heights (cm) for spinach grown using nano-fertilizers</w:t>
      </w:r>
      <w:bookmarkEnd w:id="219"/>
      <w:bookmarkEnd w:id="220"/>
      <w:bookmarkEnd w:id="221"/>
      <w:bookmarkEnd w:id="222"/>
    </w:p>
    <w:tbl>
      <w:tblPr>
        <w:tblW w:w="8054" w:type="dxa"/>
        <w:tblInd w:w="58" w:type="dxa"/>
        <w:tblLayout w:type="fixed"/>
        <w:tblCellMar>
          <w:left w:w="0" w:type="dxa"/>
          <w:right w:w="0" w:type="dxa"/>
        </w:tblCellMar>
        <w:tblLook w:val="04A0" w:firstRow="1" w:lastRow="0" w:firstColumn="1" w:lastColumn="0" w:noHBand="0" w:noVBand="1"/>
      </w:tblPr>
      <w:tblGrid>
        <w:gridCol w:w="2430"/>
        <w:gridCol w:w="1800"/>
        <w:gridCol w:w="1800"/>
        <w:gridCol w:w="1710"/>
        <w:gridCol w:w="314"/>
      </w:tblGrid>
      <w:tr w:rsidR="00F934C1" w:rsidRPr="00BB4B6E" w:rsidTr="00F934C1">
        <w:trPr>
          <w:trHeight w:val="800"/>
        </w:trPr>
        <w:tc>
          <w:tcPr>
            <w:tcW w:w="243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531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rFonts w:eastAsia="Calibri"/>
                <w:b/>
                <w:bCs/>
                <w:color w:val="000000"/>
                <w:kern w:val="24"/>
              </w:rPr>
              <w:t>[Height]</w:t>
            </w:r>
          </w:p>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b/>
                <w:color w:val="000000"/>
              </w:rPr>
              <w:t>Mean± SD</w:t>
            </w:r>
            <w:r w:rsidRPr="00BB4B6E">
              <w:rPr>
                <w:rFonts w:eastAsia="Calibri"/>
                <w:b/>
                <w:bCs/>
                <w:color w:val="000000"/>
                <w:kern w:val="24"/>
              </w:rPr>
              <w:t xml:space="preserve"> (cm)</w:t>
            </w:r>
          </w:p>
          <w:p w:rsidR="00F934C1" w:rsidRPr="00BB4B6E" w:rsidRDefault="00F934C1" w:rsidP="00F934C1">
            <w:pPr>
              <w:autoSpaceDE/>
              <w:autoSpaceDN/>
              <w:adjustRightInd/>
              <w:spacing w:line="276" w:lineRule="auto"/>
              <w:ind w:left="187"/>
              <w:jc w:val="center"/>
            </w:pPr>
            <w:r w:rsidRPr="00BB4B6E">
              <w:rPr>
                <w:b/>
                <w:color w:val="000000"/>
              </w:rPr>
              <w:t>n=9</w:t>
            </w:r>
          </w:p>
        </w:tc>
        <w:tc>
          <w:tcPr>
            <w:tcW w:w="314"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43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80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30 days</w:t>
            </w:r>
          </w:p>
        </w:tc>
        <w:tc>
          <w:tcPr>
            <w:tcW w:w="180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60 days</w:t>
            </w:r>
          </w:p>
        </w:tc>
        <w:tc>
          <w:tcPr>
            <w:tcW w:w="171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90 days</w:t>
            </w:r>
          </w:p>
        </w:tc>
        <w:tc>
          <w:tcPr>
            <w:tcW w:w="314"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43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Bone nHA</w:t>
            </w:r>
          </w:p>
        </w:tc>
        <w:tc>
          <w:tcPr>
            <w:tcW w:w="18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14.33±0.88</w:t>
            </w:r>
            <w:r w:rsidRPr="00BB4B6E">
              <w:rPr>
                <w:rFonts w:eastAsia="Calibri"/>
                <w:color w:val="000000"/>
                <w:kern w:val="24"/>
                <w:position w:val="7"/>
                <w:vertAlign w:val="superscript"/>
              </w:rPr>
              <w:t>cA</w:t>
            </w:r>
          </w:p>
        </w:tc>
        <w:tc>
          <w:tcPr>
            <w:tcW w:w="18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29.33±1.45</w:t>
            </w:r>
            <w:r w:rsidRPr="00BB4B6E">
              <w:rPr>
                <w:rFonts w:eastAsia="Calibri"/>
                <w:color w:val="000000"/>
                <w:kern w:val="24"/>
                <w:position w:val="7"/>
                <w:vertAlign w:val="superscript"/>
              </w:rPr>
              <w:t>eB</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44.67±1.76</w:t>
            </w:r>
            <w:r w:rsidRPr="00BB4B6E">
              <w:rPr>
                <w:rFonts w:eastAsia="Calibri"/>
                <w:color w:val="000000"/>
                <w:kern w:val="24"/>
                <w:position w:val="7"/>
                <w:vertAlign w:val="superscript"/>
              </w:rPr>
              <w:t>efC</w:t>
            </w:r>
          </w:p>
        </w:tc>
        <w:tc>
          <w:tcPr>
            <w:tcW w:w="314"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236"/>
        </w:trPr>
        <w:tc>
          <w:tcPr>
            <w:tcW w:w="243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Syn nHA</w:t>
            </w:r>
          </w:p>
        </w:tc>
        <w:tc>
          <w:tcPr>
            <w:tcW w:w="18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12.33±0.88</w:t>
            </w:r>
            <w:r w:rsidRPr="00BB4B6E">
              <w:rPr>
                <w:rFonts w:eastAsia="Calibri"/>
                <w:color w:val="000000"/>
                <w:kern w:val="24"/>
                <w:position w:val="7"/>
                <w:vertAlign w:val="superscript"/>
              </w:rPr>
              <w:t>bA</w:t>
            </w:r>
          </w:p>
        </w:tc>
        <w:tc>
          <w:tcPr>
            <w:tcW w:w="18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26.33±1.20</w:t>
            </w:r>
            <w:r w:rsidRPr="00BB4B6E">
              <w:rPr>
                <w:rFonts w:eastAsia="Calibri"/>
                <w:color w:val="000000"/>
                <w:kern w:val="24"/>
                <w:position w:val="7"/>
                <w:vertAlign w:val="superscript"/>
              </w:rPr>
              <w:t>dB</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40.00±0.58</w:t>
            </w:r>
            <w:r w:rsidRPr="00BB4B6E">
              <w:rPr>
                <w:rFonts w:eastAsia="Calibri"/>
                <w:color w:val="000000"/>
                <w:kern w:val="24"/>
                <w:position w:val="7"/>
                <w:vertAlign w:val="superscript"/>
              </w:rPr>
              <w:t>eC</w:t>
            </w:r>
          </w:p>
        </w:tc>
        <w:tc>
          <w:tcPr>
            <w:tcW w:w="314" w:type="dxa"/>
            <w:vMerge/>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rPr>
                <w:rFonts w:eastAsia="Calibri"/>
                <w:color w:val="000000"/>
                <w:kern w:val="24"/>
              </w:rPr>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Bone nHA +DAP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13.33±1.20</w:t>
            </w:r>
            <w:r w:rsidRPr="00BB4B6E">
              <w:rPr>
                <w:rFonts w:eastAsia="Calibri"/>
                <w:color w:val="000000"/>
                <w:kern w:val="24"/>
                <w:position w:val="7"/>
                <w:vertAlign w:val="superscript"/>
              </w:rPr>
              <w:t>bcA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29.00±1.15</w:t>
            </w:r>
            <w:r w:rsidRPr="00BB4B6E">
              <w:rPr>
                <w:rFonts w:eastAsia="Calibri"/>
                <w:color w:val="000000"/>
                <w:kern w:val="24"/>
                <w:position w:val="7"/>
                <w:vertAlign w:val="superscript"/>
              </w:rPr>
              <w:t>eB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43.33±1.45</w:t>
            </w:r>
            <w:r w:rsidRPr="00BB4B6E">
              <w:rPr>
                <w:rFonts w:eastAsia="Calibri"/>
                <w:color w:val="000000"/>
                <w:kern w:val="24"/>
                <w:position w:val="7"/>
                <w:vertAlign w:val="superscript"/>
              </w:rPr>
              <w:t>eC</w:t>
            </w:r>
          </w:p>
        </w:tc>
        <w:tc>
          <w:tcPr>
            <w:tcW w:w="314"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Syn nHA +DAP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11.67±0.88</w:t>
            </w:r>
            <w:r w:rsidRPr="00BB4B6E">
              <w:rPr>
                <w:rFonts w:eastAsia="Calibri"/>
                <w:color w:val="000000"/>
                <w:kern w:val="24"/>
                <w:position w:val="7"/>
                <w:vertAlign w:val="superscript"/>
              </w:rPr>
              <w:t>abA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26.00±0.58</w:t>
            </w:r>
            <w:r w:rsidRPr="00BB4B6E">
              <w:rPr>
                <w:rFonts w:eastAsia="Calibri"/>
                <w:color w:val="000000"/>
                <w:kern w:val="24"/>
                <w:position w:val="7"/>
                <w:vertAlign w:val="superscript"/>
              </w:rPr>
              <w:t>dB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40.67±1.76</w:t>
            </w:r>
            <w:r w:rsidRPr="00BB4B6E">
              <w:rPr>
                <w:rFonts w:eastAsia="Calibri"/>
                <w:color w:val="000000"/>
                <w:kern w:val="24"/>
                <w:position w:val="7"/>
                <w:vertAlign w:val="superscript"/>
              </w:rPr>
              <w:t>eC</w:t>
            </w:r>
          </w:p>
        </w:tc>
        <w:tc>
          <w:tcPr>
            <w:tcW w:w="314"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Bone nHA+ 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13.67±1.20</w:t>
            </w:r>
            <w:r w:rsidRPr="00BB4B6E">
              <w:rPr>
                <w:rFonts w:eastAsia="Calibri"/>
                <w:color w:val="000000"/>
                <w:kern w:val="24"/>
                <w:position w:val="7"/>
                <w:vertAlign w:val="superscript"/>
              </w:rPr>
              <w:t>bcA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33.00±1.00</w:t>
            </w:r>
            <w:r w:rsidRPr="00BB4B6E">
              <w:rPr>
                <w:rFonts w:eastAsia="Calibri"/>
                <w:color w:val="000000"/>
                <w:kern w:val="24"/>
                <w:position w:val="7"/>
                <w:vertAlign w:val="superscript"/>
              </w:rPr>
              <w:t>fB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49.33±1.20</w:t>
            </w:r>
            <w:r w:rsidRPr="00BB4B6E">
              <w:rPr>
                <w:rFonts w:eastAsia="Calibri"/>
                <w:color w:val="000000"/>
                <w:kern w:val="24"/>
                <w:position w:val="7"/>
                <w:vertAlign w:val="superscript"/>
              </w:rPr>
              <w:t>fC</w:t>
            </w:r>
          </w:p>
        </w:tc>
        <w:tc>
          <w:tcPr>
            <w:tcW w:w="314"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 xml:space="preserve">Syn nHA+ 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10.33±0.88</w:t>
            </w:r>
            <w:r w:rsidRPr="00BB4B6E">
              <w:rPr>
                <w:rFonts w:eastAsia="Calibri"/>
                <w:color w:val="000000"/>
                <w:kern w:val="24"/>
                <w:position w:val="7"/>
                <w:vertAlign w:val="superscript"/>
              </w:rPr>
              <w:t>aA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28.67±0.88</w:t>
            </w:r>
            <w:r w:rsidRPr="00BB4B6E">
              <w:rPr>
                <w:rFonts w:eastAsia="Calibri"/>
                <w:color w:val="000000"/>
                <w:kern w:val="24"/>
                <w:position w:val="7"/>
                <w:vertAlign w:val="superscript"/>
              </w:rPr>
              <w:t>eB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rPr>
                <w:rFonts w:eastAsia="Calibri"/>
                <w:color w:val="000000"/>
                <w:kern w:val="24"/>
              </w:rPr>
            </w:pPr>
            <w:r w:rsidRPr="00BB4B6E">
              <w:rPr>
                <w:rFonts w:eastAsia="Calibri"/>
                <w:color w:val="000000"/>
                <w:kern w:val="24"/>
              </w:rPr>
              <w:t>33.00±1.15</w:t>
            </w:r>
            <w:r w:rsidRPr="00BB4B6E">
              <w:rPr>
                <w:rFonts w:eastAsia="Calibri"/>
                <w:color w:val="000000"/>
                <w:kern w:val="24"/>
                <w:position w:val="7"/>
                <w:vertAlign w:val="superscript"/>
              </w:rPr>
              <w:t>dC</w:t>
            </w:r>
          </w:p>
        </w:tc>
        <w:tc>
          <w:tcPr>
            <w:tcW w:w="314"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pPr>
            <w:r w:rsidRPr="00BB4B6E">
              <w:rPr>
                <w:rFonts w:eastAsia="Calibri"/>
                <w:color w:val="000000"/>
                <w:kern w:val="24"/>
              </w:rPr>
              <w:t>Bone nHA+DAP+NPK</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13.00±0.58</w:t>
            </w:r>
            <w:r w:rsidRPr="00BB4B6E">
              <w:rPr>
                <w:rFonts w:eastAsia="Calibri"/>
                <w:color w:val="000000"/>
                <w:kern w:val="24"/>
                <w:position w:val="7"/>
                <w:vertAlign w:val="superscript"/>
              </w:rPr>
              <w:t>bcA</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28.33±1.20</w:t>
            </w:r>
            <w:r w:rsidRPr="00BB4B6E">
              <w:rPr>
                <w:rFonts w:eastAsia="Calibri"/>
                <w:color w:val="000000"/>
                <w:kern w:val="24"/>
                <w:position w:val="7"/>
                <w:vertAlign w:val="superscript"/>
              </w:rPr>
              <w:t>eB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jc w:val="left"/>
            </w:pPr>
            <w:r w:rsidRPr="00BB4B6E">
              <w:rPr>
                <w:rFonts w:eastAsia="Calibri"/>
                <w:color w:val="000000"/>
                <w:kern w:val="24"/>
              </w:rPr>
              <w:t>45.00±1.15d</w:t>
            </w:r>
            <w:r w:rsidRPr="00BB4B6E">
              <w:rPr>
                <w:rFonts w:eastAsia="Calibri"/>
                <w:color w:val="000000"/>
                <w:kern w:val="24"/>
                <w:position w:val="7"/>
                <w:vertAlign w:val="superscript"/>
              </w:rPr>
              <w:t>efC</w:t>
            </w:r>
          </w:p>
        </w:tc>
        <w:tc>
          <w:tcPr>
            <w:tcW w:w="314"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Syn nHA+DAP+NPK</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11.67±0.88</w:t>
            </w:r>
            <w:r w:rsidRPr="00BB4B6E">
              <w:rPr>
                <w:rFonts w:eastAsia="Calibri"/>
                <w:color w:val="000000"/>
                <w:kern w:val="24"/>
                <w:position w:val="7"/>
                <w:vertAlign w:val="superscript"/>
              </w:rPr>
              <w:t>bA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21.67±1.45</w:t>
            </w:r>
            <w:r w:rsidRPr="00BB4B6E">
              <w:rPr>
                <w:rFonts w:eastAsia="Calibri"/>
                <w:color w:val="000000"/>
                <w:kern w:val="24"/>
                <w:position w:val="7"/>
                <w:vertAlign w:val="superscript"/>
              </w:rPr>
              <w:t>cB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30.00±0.58</w:t>
            </w:r>
            <w:r w:rsidRPr="00BB4B6E">
              <w:rPr>
                <w:rFonts w:eastAsia="Calibri"/>
                <w:color w:val="000000"/>
                <w:kern w:val="24"/>
                <w:position w:val="7"/>
                <w:vertAlign w:val="superscript"/>
              </w:rPr>
              <w:t>cC</w:t>
            </w:r>
          </w:p>
        </w:tc>
        <w:tc>
          <w:tcPr>
            <w:tcW w:w="314"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13.00±0.58</w:t>
            </w:r>
            <w:r w:rsidRPr="00BB4B6E">
              <w:rPr>
                <w:rFonts w:eastAsia="Calibri"/>
                <w:color w:val="000000"/>
                <w:kern w:val="24"/>
                <w:position w:val="7"/>
                <w:vertAlign w:val="superscript"/>
              </w:rPr>
              <w:t>bcA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21.33±0.88</w:t>
            </w:r>
            <w:r w:rsidRPr="00BB4B6E">
              <w:rPr>
                <w:rFonts w:eastAsia="Calibri"/>
                <w:color w:val="000000"/>
                <w:kern w:val="24"/>
                <w:position w:val="7"/>
                <w:vertAlign w:val="superscript"/>
              </w:rPr>
              <w:t>cB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29.33±0.88</w:t>
            </w:r>
            <w:r w:rsidRPr="00BB4B6E">
              <w:rPr>
                <w:rFonts w:eastAsia="Calibri"/>
                <w:color w:val="000000"/>
                <w:kern w:val="24"/>
                <w:position w:val="7"/>
                <w:vertAlign w:val="superscript"/>
              </w:rPr>
              <w:t>cC</w:t>
            </w:r>
          </w:p>
        </w:tc>
        <w:tc>
          <w:tcPr>
            <w:tcW w:w="314"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DAP+NPK </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12.00±0.58</w:t>
            </w:r>
            <w:r w:rsidRPr="00BB4B6E">
              <w:rPr>
                <w:rFonts w:eastAsia="Calibri"/>
                <w:color w:val="000000"/>
                <w:kern w:val="24"/>
                <w:position w:val="7"/>
                <w:vertAlign w:val="superscript"/>
              </w:rPr>
              <w:t>bA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21.33±1.20</w:t>
            </w:r>
            <w:r w:rsidRPr="00BB4B6E">
              <w:rPr>
                <w:rFonts w:eastAsia="Calibri"/>
                <w:color w:val="000000"/>
                <w:kern w:val="24"/>
                <w:position w:val="7"/>
                <w:vertAlign w:val="superscript"/>
              </w:rPr>
              <w:t>cB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28.33±1.20</w:t>
            </w:r>
            <w:r w:rsidRPr="00BB4B6E">
              <w:rPr>
                <w:rFonts w:eastAsia="Calibri"/>
                <w:color w:val="000000"/>
                <w:kern w:val="24"/>
                <w:position w:val="7"/>
                <w:vertAlign w:val="superscript"/>
              </w:rPr>
              <w:t>cC</w:t>
            </w:r>
          </w:p>
        </w:tc>
        <w:tc>
          <w:tcPr>
            <w:tcW w:w="314"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Non-treated control</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10.67±0.88</w:t>
            </w:r>
            <w:r w:rsidRPr="00BB4B6E">
              <w:rPr>
                <w:rFonts w:eastAsia="Calibri"/>
                <w:color w:val="000000"/>
                <w:kern w:val="24"/>
                <w:position w:val="7"/>
                <w:vertAlign w:val="superscript"/>
              </w:rPr>
              <w:t>aA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16.67±0.88</w:t>
            </w:r>
            <w:r w:rsidRPr="00BB4B6E">
              <w:rPr>
                <w:rFonts w:eastAsia="Calibri"/>
                <w:color w:val="000000"/>
                <w:kern w:val="24"/>
                <w:position w:val="7"/>
                <w:vertAlign w:val="superscript"/>
              </w:rPr>
              <w:t>A</w:t>
            </w:r>
            <w:r>
              <w:rPr>
                <w:rFonts w:eastAsia="Calibri"/>
                <w:color w:val="000000"/>
                <w:kern w:val="24"/>
                <w:position w:val="7"/>
                <w:vertAlign w:val="superscript"/>
              </w:rPr>
              <w:t xml:space="preserve">aB </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jc w:val="left"/>
            </w:pPr>
            <w:r w:rsidRPr="00BB4B6E">
              <w:rPr>
                <w:rFonts w:eastAsia="Calibri"/>
                <w:color w:val="000000"/>
                <w:kern w:val="24"/>
              </w:rPr>
              <w:t>20.00±0.58</w:t>
            </w:r>
            <w:r w:rsidRPr="00BB4B6E">
              <w:rPr>
                <w:rFonts w:eastAsia="Calibri"/>
                <w:color w:val="000000"/>
                <w:kern w:val="24"/>
                <w:position w:val="7"/>
                <w:vertAlign w:val="superscript"/>
              </w:rPr>
              <w:t>aC</w:t>
            </w:r>
          </w:p>
        </w:tc>
        <w:tc>
          <w:tcPr>
            <w:tcW w:w="314"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43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80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80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P-value ˂0.01</w:t>
            </w:r>
          </w:p>
        </w:tc>
        <w:tc>
          <w:tcPr>
            <w:tcW w:w="171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314"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934C1">
      <w:pPr>
        <w:spacing w:line="240" w:lineRule="auto"/>
        <w:rPr>
          <w:lang w:val="sw-KE" w:eastAsia="sw-KE"/>
        </w:rPr>
      </w:pPr>
      <w:r w:rsidRPr="00BB4B6E">
        <w:rPr>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Pr="00BB4B6E" w:rsidRDefault="00F934C1" w:rsidP="00F934C1">
      <w:pPr>
        <w:pStyle w:val="Caption"/>
        <w:rPr>
          <w:color w:val="auto"/>
          <w:sz w:val="24"/>
          <w:szCs w:val="24"/>
        </w:rPr>
      </w:pPr>
    </w:p>
    <w:p w:rsidR="00F934C1" w:rsidRPr="00BB4B6E" w:rsidRDefault="00F934C1" w:rsidP="00F934C1">
      <w:pPr>
        <w:autoSpaceDE/>
        <w:autoSpaceDN/>
        <w:adjustRightInd/>
        <w:spacing w:after="200" w:line="276" w:lineRule="auto"/>
        <w:jc w:val="left"/>
        <w:rPr>
          <w:b/>
          <w:bCs/>
        </w:rPr>
      </w:pPr>
      <w:r w:rsidRPr="00BB4B6E">
        <w:br w:type="page"/>
      </w:r>
    </w:p>
    <w:p w:rsidR="00F934C1" w:rsidRPr="00BB4B6E" w:rsidRDefault="00F934C1" w:rsidP="00F934C1">
      <w:pPr>
        <w:pStyle w:val="Heading4"/>
        <w:rPr>
          <w:lang w:eastAsia="sw-KE"/>
        </w:rPr>
      </w:pPr>
      <w:bookmarkStart w:id="223" w:name="_Toc120047579"/>
      <w:bookmarkStart w:id="224" w:name="_Toc112877977"/>
      <w:bookmarkStart w:id="225" w:name="_Toc112880608"/>
      <w:bookmarkStart w:id="226" w:name="_Toc144222344"/>
      <w:r w:rsidRPr="00BB4B6E">
        <w:lastRenderedPageBreak/>
        <w:t>Table 4.13</w:t>
      </w:r>
      <w:r w:rsidRPr="00BB4B6E">
        <w:rPr>
          <w:lang w:eastAsia="sw-KE"/>
        </w:rPr>
        <w:t>: The 30, 60, 90 day Heights (cm) for bean grown using nano-fertilizers</w:t>
      </w:r>
      <w:bookmarkEnd w:id="223"/>
      <w:bookmarkEnd w:id="224"/>
      <w:bookmarkEnd w:id="225"/>
      <w:bookmarkEnd w:id="226"/>
    </w:p>
    <w:tbl>
      <w:tblPr>
        <w:tblW w:w="8280" w:type="dxa"/>
        <w:tblInd w:w="58" w:type="dxa"/>
        <w:tblCellMar>
          <w:left w:w="0" w:type="dxa"/>
          <w:right w:w="0" w:type="dxa"/>
        </w:tblCellMar>
        <w:tblLook w:val="04A0" w:firstRow="1" w:lastRow="0" w:firstColumn="1" w:lastColumn="0" w:noHBand="0" w:noVBand="1"/>
      </w:tblPr>
      <w:tblGrid>
        <w:gridCol w:w="2610"/>
        <w:gridCol w:w="1710"/>
        <w:gridCol w:w="1710"/>
        <w:gridCol w:w="1710"/>
        <w:gridCol w:w="540"/>
      </w:tblGrid>
      <w:tr w:rsidR="00F934C1" w:rsidRPr="00BB4B6E" w:rsidTr="00F934C1">
        <w:trPr>
          <w:trHeight w:val="800"/>
        </w:trPr>
        <w:tc>
          <w:tcPr>
            <w:tcW w:w="261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513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rFonts w:eastAsia="Calibri"/>
                <w:b/>
                <w:bCs/>
                <w:color w:val="000000"/>
                <w:kern w:val="24"/>
              </w:rPr>
              <w:t>[Height]</w:t>
            </w:r>
          </w:p>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b/>
                <w:color w:val="000000"/>
              </w:rPr>
              <w:t>Mean± SD</w:t>
            </w:r>
            <w:r w:rsidRPr="00BB4B6E">
              <w:rPr>
                <w:rFonts w:eastAsia="Calibri"/>
                <w:b/>
                <w:bCs/>
                <w:color w:val="000000"/>
                <w:kern w:val="24"/>
              </w:rPr>
              <w:t xml:space="preserve"> (cm)</w:t>
            </w:r>
          </w:p>
          <w:p w:rsidR="00F934C1" w:rsidRPr="00BB4B6E" w:rsidRDefault="00F934C1" w:rsidP="00F934C1">
            <w:pPr>
              <w:autoSpaceDE/>
              <w:autoSpaceDN/>
              <w:adjustRightInd/>
              <w:spacing w:line="276" w:lineRule="auto"/>
              <w:ind w:left="187"/>
              <w:jc w:val="center"/>
            </w:pPr>
            <w:r w:rsidRPr="00BB4B6E">
              <w:rPr>
                <w:b/>
                <w:color w:val="000000"/>
              </w:rPr>
              <w:t>n=9</w:t>
            </w:r>
          </w:p>
        </w:tc>
        <w:tc>
          <w:tcPr>
            <w:tcW w:w="54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61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71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30 days</w:t>
            </w:r>
          </w:p>
        </w:tc>
        <w:tc>
          <w:tcPr>
            <w:tcW w:w="171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60 days</w:t>
            </w:r>
          </w:p>
        </w:tc>
        <w:tc>
          <w:tcPr>
            <w:tcW w:w="171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color w:val="000000"/>
                <w:kern w:val="24"/>
              </w:rPr>
              <w:t xml:space="preserve"> 90 days</w:t>
            </w:r>
          </w:p>
        </w:tc>
        <w:tc>
          <w:tcPr>
            <w:tcW w:w="54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p>
        </w:tc>
      </w:tr>
      <w:tr w:rsidR="00F934C1" w:rsidRPr="00BB4B6E" w:rsidTr="00F934C1">
        <w:trPr>
          <w:cantSplit/>
          <w:trHeight w:val="236"/>
        </w:trPr>
        <w:tc>
          <w:tcPr>
            <w:tcW w:w="261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rPr>
                <w:color w:val="000000" w:themeColor="text1"/>
              </w:rPr>
            </w:pPr>
            <w:r w:rsidRPr="00BB4B6E">
              <w:rPr>
                <w:rFonts w:eastAsia="Calibri"/>
                <w:color w:val="000000" w:themeColor="text1"/>
                <w:kern w:val="24"/>
              </w:rPr>
              <w:t>Bone nHA</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51.67±1.45</w:t>
            </w:r>
            <w:r w:rsidRPr="00BB4B6E">
              <w:rPr>
                <w:color w:val="000000" w:themeColor="text1"/>
                <w:kern w:val="24"/>
                <w:position w:val="7"/>
                <w:vertAlign w:val="superscript"/>
              </w:rPr>
              <w:t>dA</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83.33±1.20</w:t>
            </w:r>
            <w:r w:rsidRPr="00BB4B6E">
              <w:rPr>
                <w:color w:val="000000" w:themeColor="text1"/>
                <w:kern w:val="24"/>
                <w:position w:val="7"/>
                <w:vertAlign w:val="superscript"/>
              </w:rPr>
              <w:t>fB</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100.67±2.03</w:t>
            </w:r>
            <w:r w:rsidRPr="00BB4B6E">
              <w:rPr>
                <w:color w:val="000000" w:themeColor="text1"/>
                <w:kern w:val="24"/>
                <w:position w:val="7"/>
                <w:vertAlign w:val="superscript"/>
              </w:rPr>
              <w:t>fC</w:t>
            </w:r>
          </w:p>
        </w:tc>
        <w:tc>
          <w:tcPr>
            <w:tcW w:w="540" w:type="dxa"/>
            <w:vMerge w:val="restart"/>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pPr>
            <w:r w:rsidRPr="00BB4B6E">
              <w:rPr>
                <w:rFonts w:eastAsia="Calibri"/>
                <w:color w:val="000000"/>
                <w:kern w:val="24"/>
              </w:rPr>
              <w:t>P-value ˂0.01</w:t>
            </w:r>
          </w:p>
          <w:p w:rsidR="00F934C1" w:rsidRPr="00BB4B6E" w:rsidRDefault="00F934C1" w:rsidP="00F934C1">
            <w:pPr>
              <w:spacing w:line="240" w:lineRule="auto"/>
              <w:ind w:left="113" w:right="113"/>
              <w:jc w:val="left"/>
            </w:pPr>
          </w:p>
        </w:tc>
      </w:tr>
      <w:tr w:rsidR="00F934C1" w:rsidRPr="00BB4B6E" w:rsidTr="00F934C1">
        <w:trPr>
          <w:cantSplit/>
          <w:trHeight w:val="236"/>
        </w:trPr>
        <w:tc>
          <w:tcPr>
            <w:tcW w:w="261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rPr>
                <w:rFonts w:eastAsia="Calibri"/>
                <w:color w:val="000000" w:themeColor="text1"/>
                <w:kern w:val="24"/>
              </w:rPr>
            </w:pPr>
            <w:r w:rsidRPr="00BB4B6E">
              <w:rPr>
                <w:rFonts w:eastAsia="Calibri"/>
                <w:color w:val="000000"/>
                <w:kern w:val="24"/>
              </w:rPr>
              <w:t>Syn nHA</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kern w:val="24"/>
              </w:rPr>
            </w:pPr>
            <w:r w:rsidRPr="00BB4B6E">
              <w:rPr>
                <w:color w:val="000000" w:themeColor="text1"/>
                <w:kern w:val="24"/>
              </w:rPr>
              <w:t>41.67±1.20</w:t>
            </w:r>
            <w:r w:rsidRPr="00BB4B6E">
              <w:rPr>
                <w:color w:val="000000" w:themeColor="text1"/>
                <w:kern w:val="24"/>
                <w:position w:val="7"/>
                <w:vertAlign w:val="superscript"/>
              </w:rPr>
              <w:t>bA</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kern w:val="24"/>
              </w:rPr>
            </w:pPr>
            <w:r w:rsidRPr="00BB4B6E">
              <w:rPr>
                <w:color w:val="000000" w:themeColor="text1"/>
                <w:kern w:val="24"/>
              </w:rPr>
              <w:t>76.33±0,88</w:t>
            </w:r>
            <w:r w:rsidRPr="00BB4B6E">
              <w:rPr>
                <w:color w:val="000000" w:themeColor="text1"/>
                <w:kern w:val="24"/>
                <w:position w:val="7"/>
                <w:vertAlign w:val="superscript"/>
              </w:rPr>
              <w:t>eB</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kern w:val="24"/>
              </w:rPr>
            </w:pPr>
            <w:r w:rsidRPr="00BB4B6E">
              <w:rPr>
                <w:color w:val="000000" w:themeColor="text1"/>
                <w:kern w:val="24"/>
              </w:rPr>
              <w:t>92.33±0.88</w:t>
            </w:r>
            <w:r w:rsidRPr="00BB4B6E">
              <w:rPr>
                <w:color w:val="000000" w:themeColor="text1"/>
                <w:kern w:val="24"/>
                <w:position w:val="7"/>
                <w:vertAlign w:val="superscript"/>
              </w:rPr>
              <w:t>eC</w:t>
            </w:r>
          </w:p>
        </w:tc>
        <w:tc>
          <w:tcPr>
            <w:tcW w:w="540" w:type="dxa"/>
            <w:vMerge/>
            <w:tcBorders>
              <w:top w:val="single" w:sz="8" w:space="0" w:color="000000"/>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center"/>
              <w:rPr>
                <w:rFonts w:eastAsia="Calibri"/>
                <w:color w:val="000000"/>
                <w:kern w:val="24"/>
              </w:rPr>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rPr>
                <w:color w:val="000000" w:themeColor="text1"/>
              </w:rPr>
            </w:pPr>
            <w:r w:rsidRPr="00BB4B6E">
              <w:rPr>
                <w:rFonts w:eastAsia="Calibri"/>
                <w:color w:val="000000" w:themeColor="text1"/>
                <w:kern w:val="24"/>
              </w:rPr>
              <w:t xml:space="preserve">Bone nHA +DAP </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52.00±1.53</w:t>
            </w:r>
            <w:r w:rsidRPr="00BB4B6E">
              <w:rPr>
                <w:color w:val="000000" w:themeColor="text1"/>
                <w:kern w:val="24"/>
                <w:position w:val="7"/>
                <w:vertAlign w:val="superscript"/>
              </w:rPr>
              <w:t>dA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84.33±1.20</w:t>
            </w:r>
            <w:r w:rsidRPr="00BB4B6E">
              <w:rPr>
                <w:color w:val="000000" w:themeColor="text1"/>
                <w:kern w:val="24"/>
                <w:position w:val="7"/>
                <w:vertAlign w:val="superscript"/>
              </w:rPr>
              <w:t>fB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104.33±0.88</w:t>
            </w:r>
            <w:r w:rsidRPr="00BB4B6E">
              <w:rPr>
                <w:color w:val="000000" w:themeColor="text1"/>
                <w:kern w:val="24"/>
                <w:position w:val="7"/>
                <w:vertAlign w:val="superscript"/>
              </w:rPr>
              <w:t>gC</w:t>
            </w:r>
          </w:p>
        </w:tc>
        <w:tc>
          <w:tcPr>
            <w:tcW w:w="540"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Syn nHA +DAP </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42.33±1.20b</w:t>
            </w:r>
            <w:r w:rsidRPr="00BB4B6E">
              <w:rPr>
                <w:color w:val="000000" w:themeColor="text1"/>
                <w:kern w:val="24"/>
                <w:position w:val="7"/>
                <w:vertAlign w:val="superscript"/>
              </w:rPr>
              <w:t>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76.67±2.19</w:t>
            </w:r>
            <w:r w:rsidRPr="00BB4B6E">
              <w:rPr>
                <w:color w:val="000000" w:themeColor="text1"/>
                <w:kern w:val="24"/>
                <w:position w:val="7"/>
                <w:vertAlign w:val="superscript"/>
              </w:rPr>
              <w:t>eB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93.67±2.73</w:t>
            </w:r>
            <w:r w:rsidRPr="00BB4B6E">
              <w:rPr>
                <w:color w:val="000000" w:themeColor="text1"/>
                <w:kern w:val="24"/>
                <w:position w:val="7"/>
                <w:vertAlign w:val="superscript"/>
              </w:rPr>
              <w:t>eC</w:t>
            </w:r>
          </w:p>
        </w:tc>
        <w:tc>
          <w:tcPr>
            <w:tcW w:w="540"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rPr>
                <w:color w:val="000000" w:themeColor="text1"/>
              </w:rPr>
            </w:pPr>
            <w:r w:rsidRPr="00BB4B6E">
              <w:rPr>
                <w:rFonts w:eastAsia="Calibri"/>
                <w:color w:val="000000" w:themeColor="text1"/>
                <w:kern w:val="24"/>
              </w:rPr>
              <w:t xml:space="preserve">Bone nHA+ NPK  </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43.67±1.45</w:t>
            </w:r>
            <w:r w:rsidRPr="00BB4B6E">
              <w:rPr>
                <w:color w:val="000000" w:themeColor="text1"/>
                <w:kern w:val="24"/>
                <w:position w:val="7"/>
                <w:vertAlign w:val="superscript"/>
              </w:rPr>
              <w:t>cA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75.00±1.53</w:t>
            </w:r>
            <w:r w:rsidRPr="00BB4B6E">
              <w:rPr>
                <w:color w:val="000000" w:themeColor="text1"/>
                <w:kern w:val="24"/>
                <w:position w:val="7"/>
                <w:vertAlign w:val="superscript"/>
              </w:rPr>
              <w:t>deB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105.67±1.45</w:t>
            </w:r>
            <w:r w:rsidRPr="00BB4B6E">
              <w:rPr>
                <w:color w:val="000000" w:themeColor="text1"/>
                <w:kern w:val="24"/>
                <w:position w:val="7"/>
                <w:vertAlign w:val="superscript"/>
              </w:rPr>
              <w:t>gC</w:t>
            </w:r>
          </w:p>
        </w:tc>
        <w:tc>
          <w:tcPr>
            <w:tcW w:w="540"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373"/>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pPr>
            <w:r w:rsidRPr="00BB4B6E">
              <w:rPr>
                <w:rFonts w:eastAsia="Calibri"/>
                <w:color w:val="000000"/>
                <w:kern w:val="24"/>
              </w:rPr>
              <w:t xml:space="preserve">Syn nHA+ NPK  </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42.67±1.76</w:t>
            </w:r>
            <w:r w:rsidRPr="00BB4B6E">
              <w:rPr>
                <w:color w:val="000000" w:themeColor="text1"/>
                <w:kern w:val="24"/>
                <w:position w:val="7"/>
                <w:vertAlign w:val="superscript"/>
              </w:rPr>
              <w:t>bA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72.67±1.45</w:t>
            </w:r>
            <w:r w:rsidRPr="00BB4B6E">
              <w:rPr>
                <w:color w:val="000000" w:themeColor="text1"/>
                <w:kern w:val="24"/>
                <w:position w:val="7"/>
                <w:vertAlign w:val="superscript"/>
              </w:rPr>
              <w:t>dB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93.33±1.86</w:t>
            </w:r>
            <w:r w:rsidRPr="00BB4B6E">
              <w:rPr>
                <w:color w:val="000000" w:themeColor="text1"/>
                <w:kern w:val="24"/>
                <w:position w:val="7"/>
                <w:vertAlign w:val="superscript"/>
              </w:rPr>
              <w:t>dC</w:t>
            </w:r>
          </w:p>
        </w:tc>
        <w:tc>
          <w:tcPr>
            <w:tcW w:w="540"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76"/>
        </w:trPr>
        <w:tc>
          <w:tcPr>
            <w:tcW w:w="261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autoSpaceDE/>
              <w:autoSpaceDN/>
              <w:adjustRightInd/>
              <w:spacing w:line="240" w:lineRule="auto"/>
              <w:jc w:val="left"/>
              <w:rPr>
                <w:color w:val="000000" w:themeColor="text1"/>
              </w:rPr>
            </w:pPr>
            <w:r w:rsidRPr="00BB4B6E">
              <w:rPr>
                <w:rFonts w:eastAsia="Calibri"/>
                <w:color w:val="000000" w:themeColor="text1"/>
                <w:kern w:val="24"/>
              </w:rPr>
              <w:t>Bone nHA+DAP+NPK</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44.00±1.53</w:t>
            </w:r>
            <w:r w:rsidRPr="00BB4B6E">
              <w:rPr>
                <w:color w:val="000000" w:themeColor="text1"/>
                <w:kern w:val="24"/>
                <w:position w:val="7"/>
                <w:vertAlign w:val="superscript"/>
              </w:rPr>
              <w:t>cA</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79.67±0.88</w:t>
            </w:r>
            <w:r w:rsidRPr="00BB4B6E">
              <w:rPr>
                <w:color w:val="000000" w:themeColor="text1"/>
                <w:kern w:val="24"/>
                <w:position w:val="7"/>
                <w:vertAlign w:val="superscript"/>
              </w:rPr>
              <w:t>eB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96.00±1.15</w:t>
            </w:r>
            <w:r w:rsidRPr="00BB4B6E">
              <w:rPr>
                <w:color w:val="000000" w:themeColor="text1"/>
                <w:kern w:val="24"/>
                <w:position w:val="7"/>
                <w:vertAlign w:val="superscript"/>
              </w:rPr>
              <w:t>efC</w:t>
            </w:r>
          </w:p>
        </w:tc>
        <w:tc>
          <w:tcPr>
            <w:tcW w:w="540" w:type="dxa"/>
            <w:vMerge/>
            <w:tcBorders>
              <w:left w:val="nil"/>
              <w:right w:val="nil"/>
            </w:tcBorders>
            <w:shd w:val="clear" w:color="auto" w:fill="FFFFFF"/>
            <w:tcMar>
              <w:top w:w="14" w:type="dxa"/>
              <w:left w:w="58" w:type="dxa"/>
              <w:bottom w:w="0" w:type="dxa"/>
              <w:right w:w="58" w:type="dxa"/>
            </w:tcMar>
            <w:textDirection w:val="tbRl"/>
          </w:tcPr>
          <w:p w:rsidR="00F934C1" w:rsidRPr="00BB4B6E" w:rsidRDefault="00F934C1" w:rsidP="00F934C1">
            <w:pPr>
              <w:spacing w:line="240" w:lineRule="auto"/>
              <w:ind w:left="113" w:right="113"/>
              <w:jc w:val="left"/>
              <w:rPr>
                <w:rFonts w:eastAsia="Calibri"/>
                <w:color w:val="000000"/>
                <w:kern w:val="24"/>
              </w:rPr>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Syn nHA+DAP+NPK</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42.00±0.58</w:t>
            </w:r>
            <w:r w:rsidRPr="00BB4B6E">
              <w:rPr>
                <w:color w:val="000000" w:themeColor="text1"/>
                <w:kern w:val="24"/>
                <w:position w:val="7"/>
                <w:vertAlign w:val="superscript"/>
              </w:rPr>
              <w:t>bcA</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71.00±2.65</w:t>
            </w:r>
            <w:r w:rsidRPr="00BB4B6E">
              <w:rPr>
                <w:color w:val="000000" w:themeColor="text1"/>
                <w:kern w:val="24"/>
                <w:position w:val="7"/>
                <w:vertAlign w:val="superscript"/>
              </w:rPr>
              <w:t>dB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88.00±2.08</w:t>
            </w:r>
            <w:r w:rsidRPr="00BB4B6E">
              <w:rPr>
                <w:color w:val="000000" w:themeColor="text1"/>
                <w:kern w:val="24"/>
                <w:position w:val="7"/>
                <w:vertAlign w:val="superscript"/>
              </w:rPr>
              <w:t>dC</w:t>
            </w:r>
          </w:p>
        </w:tc>
        <w:tc>
          <w:tcPr>
            <w:tcW w:w="540"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rPr>
                <w:color w:val="000000" w:themeColor="text1"/>
              </w:rPr>
            </w:pPr>
            <w:r w:rsidRPr="00BB4B6E">
              <w:rPr>
                <w:rFonts w:eastAsia="Calibri"/>
                <w:color w:val="000000" w:themeColor="text1"/>
                <w:kern w:val="24"/>
              </w:rPr>
              <w:t xml:space="preserve">NPK </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40.67±0.88</w:t>
            </w:r>
            <w:r w:rsidRPr="00BB4B6E">
              <w:rPr>
                <w:color w:val="000000" w:themeColor="text1"/>
                <w:kern w:val="24"/>
                <w:position w:val="7"/>
                <w:vertAlign w:val="superscript"/>
              </w:rPr>
              <w:t>bcA</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44.00±1.15</w:t>
            </w:r>
            <w:r w:rsidRPr="00BB4B6E">
              <w:rPr>
                <w:color w:val="000000" w:themeColor="text1"/>
                <w:kern w:val="24"/>
                <w:position w:val="7"/>
                <w:vertAlign w:val="superscript"/>
              </w:rPr>
              <w:t>cB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45.33±1.20</w:t>
            </w:r>
            <w:r w:rsidRPr="00BB4B6E">
              <w:rPr>
                <w:color w:val="000000" w:themeColor="text1"/>
                <w:kern w:val="24"/>
                <w:position w:val="7"/>
                <w:vertAlign w:val="superscript"/>
              </w:rPr>
              <w:t>cC</w:t>
            </w:r>
          </w:p>
        </w:tc>
        <w:tc>
          <w:tcPr>
            <w:tcW w:w="540" w:type="dxa"/>
            <w:vMerge/>
            <w:tcBorders>
              <w:left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spacing w:line="240" w:lineRule="auto"/>
              <w:ind w:left="113" w:right="113"/>
              <w:jc w:val="left"/>
            </w:pPr>
          </w:p>
        </w:tc>
      </w:tr>
      <w:tr w:rsidR="00F934C1" w:rsidRPr="00BB4B6E" w:rsidTr="00F934C1">
        <w:trPr>
          <w:cantSplit/>
          <w:trHeight w:val="66"/>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rPr>
                <w:color w:val="000000" w:themeColor="text1"/>
              </w:rPr>
            </w:pPr>
            <w:r w:rsidRPr="00BB4B6E">
              <w:rPr>
                <w:rFonts w:eastAsia="Calibri"/>
                <w:color w:val="000000" w:themeColor="text1"/>
                <w:kern w:val="24"/>
              </w:rPr>
              <w:t xml:space="preserve">DAP+NPK </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37.00±2.08</w:t>
            </w:r>
            <w:r w:rsidRPr="00BB4B6E">
              <w:rPr>
                <w:color w:val="000000" w:themeColor="text1"/>
                <w:kern w:val="24"/>
                <w:position w:val="7"/>
                <w:vertAlign w:val="superscript"/>
              </w:rPr>
              <w:t>bA</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44.33±0.67</w:t>
            </w:r>
            <w:r w:rsidRPr="00BB4B6E">
              <w:rPr>
                <w:color w:val="000000" w:themeColor="text1"/>
                <w:kern w:val="24"/>
                <w:position w:val="7"/>
                <w:vertAlign w:val="superscript"/>
              </w:rPr>
              <w:t>cB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46.00±0.58</w:t>
            </w:r>
            <w:r w:rsidRPr="00BB4B6E">
              <w:rPr>
                <w:color w:val="000000" w:themeColor="text1"/>
                <w:kern w:val="24"/>
                <w:position w:val="7"/>
                <w:vertAlign w:val="superscript"/>
              </w:rPr>
              <w:t>cC</w:t>
            </w:r>
          </w:p>
        </w:tc>
        <w:tc>
          <w:tcPr>
            <w:tcW w:w="540" w:type="dxa"/>
            <w:vMerge/>
            <w:tcBorders>
              <w:left w:val="nil"/>
              <w:bottom w:val="nil"/>
              <w:right w:val="nil"/>
            </w:tcBorders>
            <w:shd w:val="clear" w:color="auto" w:fill="FFFFFF"/>
            <w:tcMar>
              <w:top w:w="14" w:type="dxa"/>
              <w:left w:w="58" w:type="dxa"/>
              <w:bottom w:w="0" w:type="dxa"/>
              <w:right w:w="58" w:type="dxa"/>
            </w:tcMar>
            <w:textDirection w:val="tbRl"/>
            <w:hideMark/>
          </w:tcPr>
          <w:p w:rsidR="00F934C1" w:rsidRPr="00BB4B6E" w:rsidRDefault="00F934C1" w:rsidP="00F934C1">
            <w:pPr>
              <w:autoSpaceDE/>
              <w:autoSpaceDN/>
              <w:adjustRightInd/>
              <w:spacing w:line="240" w:lineRule="auto"/>
              <w:ind w:left="113" w:right="113"/>
              <w:jc w:val="left"/>
            </w:pPr>
          </w:p>
        </w:tc>
      </w:tr>
      <w:tr w:rsidR="00F934C1" w:rsidRPr="00BB4B6E" w:rsidTr="00F934C1">
        <w:trPr>
          <w:trHeight w:val="265"/>
        </w:trPr>
        <w:tc>
          <w:tcPr>
            <w:tcW w:w="261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rPr>
                <w:color w:val="000000" w:themeColor="text1"/>
              </w:rPr>
            </w:pPr>
            <w:r w:rsidRPr="00BB4B6E">
              <w:rPr>
                <w:rFonts w:eastAsia="Calibri"/>
                <w:color w:val="000000" w:themeColor="text1"/>
                <w:kern w:val="24"/>
              </w:rPr>
              <w:t>Non-treated control</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20.33±0.88</w:t>
            </w:r>
            <w:r w:rsidRPr="00BB4B6E">
              <w:rPr>
                <w:color w:val="000000" w:themeColor="text1"/>
                <w:kern w:val="24"/>
                <w:position w:val="7"/>
                <w:vertAlign w:val="superscript"/>
              </w:rPr>
              <w:t>aA</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26.00±1.53</w:t>
            </w:r>
            <w:r w:rsidRPr="00BB4B6E">
              <w:rPr>
                <w:color w:val="000000" w:themeColor="text1"/>
                <w:kern w:val="24"/>
                <w:position w:val="7"/>
                <w:vertAlign w:val="superscript"/>
              </w:rPr>
              <w:t>aB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autoSpaceDE/>
              <w:autoSpaceDN/>
              <w:adjustRightInd/>
              <w:spacing w:line="240" w:lineRule="auto"/>
              <w:rPr>
                <w:color w:val="000000" w:themeColor="text1"/>
              </w:rPr>
            </w:pPr>
            <w:r w:rsidRPr="00BB4B6E">
              <w:rPr>
                <w:color w:val="000000" w:themeColor="text1"/>
                <w:kern w:val="24"/>
              </w:rPr>
              <w:t>28.33±1.45</w:t>
            </w:r>
            <w:r w:rsidRPr="00BB4B6E">
              <w:rPr>
                <w:color w:val="000000" w:themeColor="text1"/>
                <w:kern w:val="24"/>
                <w:position w:val="7"/>
                <w:vertAlign w:val="superscript"/>
              </w:rPr>
              <w:t>aC</w:t>
            </w:r>
          </w:p>
        </w:tc>
        <w:tc>
          <w:tcPr>
            <w:tcW w:w="540" w:type="dxa"/>
            <w:tcBorders>
              <w:top w:val="nil"/>
              <w:left w:val="nil"/>
              <w:bottom w:val="nil"/>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r w:rsidR="00F934C1" w:rsidRPr="00BB4B6E" w:rsidTr="00F934C1">
        <w:trPr>
          <w:trHeight w:val="400"/>
        </w:trPr>
        <w:tc>
          <w:tcPr>
            <w:tcW w:w="2610" w:type="dxa"/>
            <w:tcBorders>
              <w:top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71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71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r w:rsidRPr="00BB4B6E">
              <w:rPr>
                <w:rFonts w:eastAsia="Calibri"/>
                <w:color w:val="000000"/>
                <w:kern w:val="24"/>
              </w:rPr>
              <w:t>P-value ˂0.01</w:t>
            </w:r>
          </w:p>
        </w:tc>
        <w:tc>
          <w:tcPr>
            <w:tcW w:w="171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540" w:type="dxa"/>
            <w:tcBorders>
              <w:top w:val="nil"/>
              <w:left w:val="nil"/>
              <w:bottom w:val="single" w:sz="8" w:space="0" w:color="000000"/>
              <w:right w:val="nil"/>
            </w:tcBorders>
            <w:shd w:val="clear" w:color="auto" w:fill="FFFFFF"/>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r>
    </w:tbl>
    <w:p w:rsidR="00F934C1" w:rsidRPr="00BB4B6E" w:rsidRDefault="00F934C1" w:rsidP="00F934C1">
      <w:pPr>
        <w:spacing w:line="240" w:lineRule="auto"/>
        <w:rPr>
          <w:lang w:val="sw-KE" w:eastAsia="sw-KE"/>
        </w:rPr>
      </w:pPr>
      <w:r w:rsidRPr="00BB4B6E">
        <w:rPr>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rPr>
          <w:color w:val="000000" w:themeColor="text1"/>
        </w:rPr>
      </w:pPr>
    </w:p>
    <w:p w:rsidR="00F934C1" w:rsidRPr="00BB4B6E" w:rsidRDefault="00F934C1" w:rsidP="00F934C1">
      <w:r w:rsidRPr="00BB4B6E">
        <w:rPr>
          <w:color w:val="000000" w:themeColor="text1"/>
        </w:rPr>
        <w:t xml:space="preserve">The Table 4.11 indicates the mean heights in kales grown in soils treated with </w:t>
      </w:r>
      <w:r w:rsidRPr="00BB4B6E">
        <w:rPr>
          <w:color w:val="000000" w:themeColor="text1"/>
          <w:kern w:val="24"/>
        </w:rPr>
        <w:t>Syn nHA</w:t>
      </w:r>
      <w:r w:rsidRPr="00BB4B6E">
        <w:rPr>
          <w:color w:val="0E101A"/>
        </w:rPr>
        <w:t xml:space="preserve">, </w:t>
      </w:r>
      <w:r w:rsidRPr="00BB4B6E">
        <w:rPr>
          <w:color w:val="000000" w:themeColor="text1"/>
          <w:kern w:val="24"/>
        </w:rPr>
        <w:t xml:space="preserve">bone nHA </w:t>
      </w:r>
      <w:r w:rsidRPr="00BB4B6E">
        <w:rPr>
          <w:lang w:val="sw-KE" w:eastAsia="sw-KE"/>
        </w:rPr>
        <w:t xml:space="preserve">nano-fertilizers and their DAP/NPK combinations ranged from </w:t>
      </w:r>
      <w:r w:rsidRPr="00BB4B6E">
        <w:rPr>
          <w:color w:val="000000"/>
        </w:rPr>
        <w:t xml:space="preserve">25.33±0.88 </w:t>
      </w:r>
      <w:r w:rsidRPr="00BB4B6E">
        <w:rPr>
          <w:color w:val="000000" w:themeColor="text1"/>
        </w:rPr>
        <w:t xml:space="preserve">cm </w:t>
      </w:r>
      <w:r w:rsidRPr="00BB4B6E">
        <w:t xml:space="preserve">(synthetic nHA at 30 day) </w:t>
      </w:r>
      <w:r w:rsidRPr="00BB4B6E">
        <w:rPr>
          <w:color w:val="000000"/>
        </w:rPr>
        <w:t>to 97.33±1.45</w:t>
      </w:r>
      <w:r w:rsidRPr="00BB4B6E">
        <w:rPr>
          <w:color w:val="000000" w:themeColor="text1"/>
        </w:rPr>
        <w:t xml:space="preserve"> cm</w:t>
      </w:r>
      <w:r w:rsidRPr="00BB4B6E">
        <w:rPr>
          <w:color w:val="000000"/>
        </w:rPr>
        <w:t xml:space="preserve"> (Bone </w:t>
      </w:r>
      <w:r w:rsidRPr="00BB4B6E">
        <w:t xml:space="preserve">nHA </w:t>
      </w:r>
      <w:r w:rsidRPr="00BB4B6E">
        <w:rPr>
          <w:color w:val="000000"/>
        </w:rPr>
        <w:t>NPK nano-fertilizer at 90 day)</w:t>
      </w:r>
      <w:r w:rsidRPr="00BB4B6E">
        <w:t>. For spinach</w:t>
      </w:r>
      <w:r w:rsidRPr="00BB4B6E">
        <w:rPr>
          <w:color w:val="000000" w:themeColor="text1"/>
        </w:rPr>
        <w:t xml:space="preserve"> (Table 4.12) </w:t>
      </w:r>
      <w:r w:rsidRPr="00BB4B6E">
        <w:t>it ranged from</w:t>
      </w:r>
      <w:r w:rsidRPr="00BB4B6E">
        <w:rPr>
          <w:color w:val="000000"/>
        </w:rPr>
        <w:t xml:space="preserve"> 10.33±0.88 </w:t>
      </w:r>
      <w:r w:rsidRPr="00BB4B6E">
        <w:rPr>
          <w:color w:val="000000" w:themeColor="text1"/>
        </w:rPr>
        <w:t>cm</w:t>
      </w:r>
      <w:r w:rsidRPr="00BB4B6E">
        <w:t xml:space="preserve"> (</w:t>
      </w:r>
      <w:r w:rsidRPr="00BB4B6E">
        <w:rPr>
          <w:color w:val="000000"/>
        </w:rPr>
        <w:t>Syn nHA+</w:t>
      </w:r>
      <w:r w:rsidRPr="00BB4B6E">
        <w:t xml:space="preserve">NPK nano-fertilizer at 30 day) to </w:t>
      </w:r>
      <w:r w:rsidRPr="00BB4B6E">
        <w:rPr>
          <w:color w:val="000000"/>
        </w:rPr>
        <w:t>49.33±1.20</w:t>
      </w:r>
      <w:r w:rsidRPr="00BB4B6E">
        <w:rPr>
          <w:color w:val="000000" w:themeColor="text1"/>
        </w:rPr>
        <w:t xml:space="preserve"> cm</w:t>
      </w:r>
      <w:r w:rsidRPr="00BB4B6E">
        <w:rPr>
          <w:color w:val="000000"/>
        </w:rPr>
        <w:t xml:space="preserve"> (Bone nHA+NPK nano-fertilizer at 90 day)</w:t>
      </w:r>
      <w:r>
        <w:t>. For</w:t>
      </w:r>
      <w:r w:rsidRPr="00BB4B6E">
        <w:t xml:space="preserve"> the beans (</w:t>
      </w:r>
      <w:r w:rsidRPr="00BB4B6E">
        <w:rPr>
          <w:color w:val="000000" w:themeColor="text1"/>
        </w:rPr>
        <w:t xml:space="preserve">Table 4.13) </w:t>
      </w:r>
      <w:r w:rsidRPr="00BB4B6E">
        <w:t xml:space="preserve">the range was </w:t>
      </w:r>
      <w:r w:rsidRPr="00BB4B6E">
        <w:rPr>
          <w:color w:val="000000"/>
        </w:rPr>
        <w:t xml:space="preserve">41.67±1.20 </w:t>
      </w:r>
      <w:r w:rsidRPr="00BB4B6E">
        <w:rPr>
          <w:color w:val="000000" w:themeColor="text1"/>
        </w:rPr>
        <w:t xml:space="preserve">cm </w:t>
      </w:r>
      <w:r w:rsidRPr="00BB4B6E">
        <w:t xml:space="preserve">(syn nHA at 30 day).to </w:t>
      </w:r>
      <w:r w:rsidRPr="00BB4B6E">
        <w:rPr>
          <w:color w:val="000000"/>
        </w:rPr>
        <w:t>105.67±1.45</w:t>
      </w:r>
      <w:r w:rsidRPr="00BB4B6E">
        <w:rPr>
          <w:color w:val="000000" w:themeColor="text1"/>
        </w:rPr>
        <w:t xml:space="preserve"> cm</w:t>
      </w:r>
      <w:r w:rsidRPr="00BB4B6E">
        <w:rPr>
          <w:color w:val="000000"/>
        </w:rPr>
        <w:t xml:space="preserve"> (Bone nHA +NPK nano-fertilizer at 90 day).</w:t>
      </w:r>
    </w:p>
    <w:p w:rsidR="00F934C1" w:rsidRPr="00BB4B6E" w:rsidRDefault="00F934C1" w:rsidP="00F934C1"/>
    <w:p w:rsidR="00F934C1" w:rsidRPr="00BB4B6E" w:rsidRDefault="00F934C1" w:rsidP="00F934C1">
      <w:pPr>
        <w:rPr>
          <w:color w:val="FF0000"/>
        </w:rPr>
      </w:pPr>
      <w:r w:rsidRPr="00BB4B6E">
        <w:t xml:space="preserve">In principle, there was a significant increase in the heights of the plants with the growth period (p&lt;0.01) signifying the effectiveness of nano-fertilizers in controlled </w:t>
      </w:r>
      <w:r w:rsidRPr="00BB4B6E">
        <w:lastRenderedPageBreak/>
        <w:t>and gradual nutrient release (</w:t>
      </w:r>
      <w:r w:rsidRPr="00BB4B6E">
        <w:rPr>
          <w:color w:val="0E101A"/>
        </w:rPr>
        <w:t xml:space="preserve">Muhammad </w:t>
      </w:r>
      <w:r w:rsidRPr="00BB4B6E">
        <w:rPr>
          <w:rStyle w:val="Emphasis"/>
          <w:rFonts w:eastAsiaTheme="majorEastAsia"/>
          <w:color w:val="0E101A"/>
        </w:rPr>
        <w:t>et al</w:t>
      </w:r>
      <w:r w:rsidRPr="00BB4B6E">
        <w:rPr>
          <w:color w:val="0E101A"/>
        </w:rPr>
        <w:t>., 2019</w:t>
      </w:r>
      <w:r w:rsidRPr="00BB4B6E">
        <w:t xml:space="preserve">). </w:t>
      </w:r>
      <w:r w:rsidRPr="00BB4B6E">
        <w:rPr>
          <w:color w:val="000000"/>
        </w:rPr>
        <w:t xml:space="preserve">The increase over the growth period can also </w:t>
      </w:r>
      <w:r>
        <w:rPr>
          <w:color w:val="000000"/>
        </w:rPr>
        <w:t xml:space="preserve">be </w:t>
      </w:r>
      <w:r w:rsidRPr="00BB4B6E">
        <w:rPr>
          <w:color w:val="000000"/>
        </w:rPr>
        <w:t>attribute</w:t>
      </w:r>
      <w:r>
        <w:rPr>
          <w:color w:val="000000"/>
        </w:rPr>
        <w:t>d</w:t>
      </w:r>
      <w:r w:rsidRPr="00BB4B6E">
        <w:rPr>
          <w:color w:val="000000"/>
        </w:rPr>
        <w:t xml:space="preserve"> to the nano-fertilizers having longer contact time for the nutrient uptake in study plants. </w:t>
      </w:r>
      <w:r w:rsidRPr="00BB4B6E">
        <w:t>Nano-fertilizers</w:t>
      </w:r>
      <w:r w:rsidRPr="00BB4B6E">
        <w:rPr>
          <w:color w:val="000000"/>
        </w:rPr>
        <w:t xml:space="preserve"> have numerous adsorption sites that can release nutrients gradually thereby boosting growth performance in plants (</w:t>
      </w:r>
      <w:r w:rsidRPr="00BB4B6E">
        <w:rPr>
          <w:noProof/>
        </w:rPr>
        <w:t xml:space="preserve">Joshi </w:t>
      </w:r>
      <w:r w:rsidRPr="00BB4B6E">
        <w:rPr>
          <w:i/>
          <w:noProof/>
        </w:rPr>
        <w:t>et al</w:t>
      </w:r>
      <w:r w:rsidRPr="00BB4B6E">
        <w:rPr>
          <w:noProof/>
        </w:rPr>
        <w:t>., 2018</w:t>
      </w:r>
      <w:r w:rsidRPr="00BB4B6E">
        <w:rPr>
          <w:color w:val="000000"/>
        </w:rPr>
        <w:t xml:space="preserve">). </w:t>
      </w:r>
      <w:r w:rsidRPr="00BB4B6E">
        <w:t xml:space="preserve">The </w:t>
      </w:r>
      <w:r w:rsidRPr="00BB4B6E">
        <w:rPr>
          <w:color w:val="000000" w:themeColor="text1"/>
          <w:kern w:val="24"/>
        </w:rPr>
        <w:t xml:space="preserve">% height increase was not only highest for the plant grown using </w:t>
      </w:r>
      <w:r w:rsidRPr="00BB4B6E">
        <w:t xml:space="preserve">bone nHA + NPK but </w:t>
      </w:r>
      <w:r w:rsidRPr="00BB4B6E">
        <w:rPr>
          <w:color w:val="000000"/>
        </w:rPr>
        <w:t xml:space="preserve">it was observed that during the growth period (30 - 90 days) of the kale plant, </w:t>
      </w:r>
      <w:r w:rsidRPr="00BB4B6E">
        <w:t>bone nHA + NPK (Table 4.11) showed significantly higher kale heights</w:t>
      </w:r>
      <w:r w:rsidRPr="00BB4B6E">
        <w:rPr>
          <w:color w:val="000000" w:themeColor="text1"/>
        </w:rPr>
        <w:t xml:space="preserve"> (cm)</w:t>
      </w:r>
      <w:r w:rsidRPr="00BB4B6E">
        <w:t xml:space="preserve"> of (</w:t>
      </w:r>
      <w:r w:rsidRPr="00BB4B6E">
        <w:rPr>
          <w:rFonts w:ascii="Calibri" w:eastAsia="Calibri" w:hAnsi="Calibri"/>
          <w:color w:val="000000"/>
          <w:kern w:val="24"/>
        </w:rPr>
        <w:t xml:space="preserve">31.00±1.53 </w:t>
      </w:r>
      <w:r w:rsidRPr="00BB4B6E">
        <w:rPr>
          <w:color w:val="000000" w:themeColor="text1"/>
          <w:kern w:val="24"/>
        </w:rPr>
        <w:t xml:space="preserve">at 30 days, </w:t>
      </w:r>
      <w:r w:rsidRPr="00BB4B6E">
        <w:rPr>
          <w:rFonts w:ascii="Calibri" w:eastAsia="Calibri" w:hAnsi="Calibri"/>
          <w:color w:val="000000"/>
          <w:kern w:val="24"/>
        </w:rPr>
        <w:t>69.67±3.48</w:t>
      </w:r>
      <w:r w:rsidRPr="00BB4B6E">
        <w:rPr>
          <w:color w:val="000000" w:themeColor="text1"/>
          <w:kern w:val="24"/>
        </w:rPr>
        <w:t xml:space="preserve"> at 60 days and </w:t>
      </w:r>
      <w:r w:rsidRPr="00BB4B6E">
        <w:rPr>
          <w:rFonts w:ascii="Calibri" w:eastAsia="Calibri" w:hAnsi="Calibri"/>
          <w:color w:val="000000"/>
          <w:kern w:val="24"/>
        </w:rPr>
        <w:t xml:space="preserve">97.33±1.45 </w:t>
      </w:r>
      <w:r w:rsidRPr="00BB4B6E">
        <w:rPr>
          <w:color w:val="000000" w:themeColor="text1"/>
          <w:kern w:val="24"/>
        </w:rPr>
        <w:t xml:space="preserve">at 90 days) in comparison to all other treatments. </w:t>
      </w:r>
      <w:r w:rsidRPr="00BB4B6E">
        <w:rPr>
          <w:kern w:val="24"/>
        </w:rPr>
        <w:t xml:space="preserve">The % </w:t>
      </w:r>
      <w:r w:rsidRPr="00BB4B6E">
        <w:t>height increase for treatments with nano-fertilizer treatments ranged from 104.86 to 158.29 %. (Appendix II). The significantly higher plant heights signify effectiveness of bone nanofertilizers in improved growth performance of study crops.</w:t>
      </w:r>
      <w:r w:rsidRPr="00BB4B6E">
        <w:rPr>
          <w:color w:val="000000" w:themeColor="text1"/>
        </w:rPr>
        <w:t xml:space="preserve"> The spinach heights were shorter than those of kales due to its genotypic nature while the bean gave the highest heights due to genotypic nature of rose cocoa. Synthetic nanofertilizers had signiﬁcantly lower and similar spinach heights than bone because they have lower active adsorption sites for gradual release of nutrients. </w:t>
      </w:r>
    </w:p>
    <w:p w:rsidR="00F934C1" w:rsidRPr="00BB4B6E" w:rsidRDefault="00F934C1" w:rsidP="00F934C1">
      <w:pPr>
        <w:rPr>
          <w:color w:val="0E101A"/>
        </w:rPr>
      </w:pPr>
    </w:p>
    <w:p w:rsidR="00F934C1" w:rsidRPr="00BB4B6E" w:rsidRDefault="00F934C1" w:rsidP="00F934C1">
      <w:r w:rsidRPr="00BB4B6E">
        <w:rPr>
          <w:color w:val="000000" w:themeColor="text1"/>
          <w:kern w:val="24"/>
        </w:rPr>
        <w:t xml:space="preserve">The effectiveness of the </w:t>
      </w:r>
      <w:r w:rsidRPr="00BB4B6E">
        <w:t xml:space="preserve">bone nHA + NPK in improving kale height growth performance was further observed when comparing the bone nHA + NPK treatment with commercial fertilizers. </w:t>
      </w:r>
      <w:r w:rsidRPr="00BB4B6E">
        <w:rPr>
          <w:color w:val="000000" w:themeColor="text1"/>
          <w:kern w:val="24"/>
        </w:rPr>
        <w:t>The bone nHA</w:t>
      </w:r>
      <w:r w:rsidRPr="00BB4B6E">
        <w:rPr>
          <w:color w:val="000000"/>
        </w:rPr>
        <w:t xml:space="preserve"> alone had significantly higher growth performance than the </w:t>
      </w:r>
      <w:r w:rsidRPr="00BB4B6E">
        <w:rPr>
          <w:color w:val="000000" w:themeColor="text1"/>
          <w:kern w:val="24"/>
        </w:rPr>
        <w:t xml:space="preserve">Syn nHA (p&lt;0.01). </w:t>
      </w:r>
      <w:r w:rsidRPr="00BB4B6E">
        <w:rPr>
          <w:color w:val="000000"/>
        </w:rPr>
        <w:t>This is attributed to bone having higher stability, higher number of adsorption sites and larger surface area for adsorption and gradual release of nutrients thereby improving growth performance (</w:t>
      </w:r>
      <w:r w:rsidRPr="00BB4B6E">
        <w:rPr>
          <w:noProof/>
        </w:rPr>
        <w:t xml:space="preserve">Joshi </w:t>
      </w:r>
      <w:r w:rsidRPr="00BB4B6E">
        <w:rPr>
          <w:i/>
          <w:noProof/>
        </w:rPr>
        <w:t>et al</w:t>
      </w:r>
      <w:r w:rsidRPr="00BB4B6E">
        <w:rPr>
          <w:noProof/>
        </w:rPr>
        <w:t>., 2018</w:t>
      </w:r>
      <w:r w:rsidRPr="00BB4B6E">
        <w:rPr>
          <w:color w:val="000000"/>
        </w:rPr>
        <w:t xml:space="preserve">). </w:t>
      </w:r>
      <w:r w:rsidRPr="00BB4B6E">
        <w:t xml:space="preserve">The bone nHA nano-fertilizers gradually release the nutrients to the plant </w:t>
      </w:r>
      <w:r w:rsidRPr="00BB4B6E">
        <w:lastRenderedPageBreak/>
        <w:t>depending on the need. Hence this reduces nutrient losses to other pathways which guarantees higher and sustainable plant growth performance.</w:t>
      </w:r>
    </w:p>
    <w:p w:rsidR="00F934C1" w:rsidRPr="00BB4B6E" w:rsidRDefault="00F934C1" w:rsidP="00F934C1">
      <w:pPr>
        <w:rPr>
          <w:color w:val="000000" w:themeColor="text1"/>
        </w:rPr>
      </w:pPr>
    </w:p>
    <w:p w:rsidR="00F934C1" w:rsidRPr="00BB4B6E" w:rsidRDefault="00F934C1" w:rsidP="00F934C1">
      <w:r w:rsidRPr="00BB4B6E">
        <w:t xml:space="preserve">For instance, </w:t>
      </w:r>
      <w:r w:rsidRPr="00BB4B6E">
        <w:rPr>
          <w:color w:val="0E101A"/>
        </w:rPr>
        <w:t>several studies have employed nano-fertilizers to improve growth performance of plants height, dry weight biomass, crop yield, number of leaves and root elongation (</w:t>
      </w:r>
      <w:r w:rsidR="00C226E6" w:rsidRPr="00BB4B6E">
        <w:rPr>
          <w:color w:val="0E101A"/>
        </w:rPr>
        <w:fldChar w:fldCharType="begin" w:fldLock="1"/>
      </w:r>
      <w:r w:rsidRPr="00BB4B6E">
        <w:rPr>
          <w:color w:val="0E101A"/>
        </w:rPr>
        <w:instrText>ADDIN CSL_CITATION {"citationItems":[{"id":"ITEM-1","itemData":{"author":[{"dropping-particle":"","family":"Sun, J.; Fan, Q.; Ma, J.; Cui, L.; Quan, G.; Yan, J. Wu, L.; Hina, K.; Abdul, B.; Wang, H. 2020","given":"32","non-dropping-particle":"","parse-names":false,"suffix":""}],"container-title":"Environmental Pollution Bioavailability","id":"ITEM-1","issued":{"date-parts":[["2020"]]},"page":"36–46.","title":"Effects of Nanobiochar on cadmium (Cd) uptake in vegetables and its natural downward movement in saline-alkali soil.","type":"article-journal","volume":"32"},"uris":["http://www.mendeley.com/documents/?uuid=49c4ce11-ef1c-42b5-bb88-8ef0fa44e64b"]}],"mendeley":{"formattedCitation":"(Sun, J.; Fan, Q.; Ma, J.; Cui, L.; Quan, G.; Yan, J. Wu, L.; Hina, K.; Abdul, B.; Wang, H. 2020, 2020)","manualFormatting":"Sun et al., 2019","plainTextFormattedCitation":"(Sun, J.; Fan, Q.; Ma, J.; Cui, L.; Quan, G.; Yan, J. Wu, L.; Hina, K.; Abdul, B.; Wang, H. 2020, 2020)","previouslyFormattedCitation":"(Sun, J.; Fan, Q.; Ma, J.; Cui, L.; Quan, G.; Yan, J. Wu, L.; Hina, K.; Abdul, B.; Wang, H. 2020, 2020)"},"properties":{"noteIndex":0},"schema":"https://github.com/citation-style-language/schema/raw/master/csl-citation.json"}</w:instrText>
      </w:r>
      <w:r w:rsidR="00C226E6" w:rsidRPr="00BB4B6E">
        <w:rPr>
          <w:color w:val="0E101A"/>
        </w:rPr>
        <w:fldChar w:fldCharType="separate"/>
      </w:r>
      <w:r w:rsidRPr="00BB4B6E">
        <w:rPr>
          <w:noProof/>
          <w:color w:val="0E101A"/>
        </w:rPr>
        <w:t xml:space="preserve">Sun </w:t>
      </w:r>
      <w:r w:rsidRPr="00BB4B6E">
        <w:rPr>
          <w:i/>
          <w:noProof/>
          <w:color w:val="0E101A"/>
        </w:rPr>
        <w:t>et al.,</w:t>
      </w:r>
      <w:r w:rsidRPr="00BB4B6E">
        <w:rPr>
          <w:noProof/>
          <w:color w:val="0E101A"/>
        </w:rPr>
        <w:t xml:space="preserve"> 20</w:t>
      </w:r>
      <w:r w:rsidR="00C226E6" w:rsidRPr="00BB4B6E">
        <w:rPr>
          <w:color w:val="0E101A"/>
        </w:rPr>
        <w:fldChar w:fldCharType="end"/>
      </w:r>
      <w:r w:rsidRPr="00BB4B6E">
        <w:rPr>
          <w:color w:val="0E101A"/>
        </w:rPr>
        <w:t xml:space="preserve">20; Muhammad </w:t>
      </w:r>
      <w:r w:rsidRPr="00BB4B6E">
        <w:rPr>
          <w:rStyle w:val="Emphasis"/>
          <w:rFonts w:eastAsiaTheme="majorEastAsia"/>
          <w:color w:val="0E101A"/>
        </w:rPr>
        <w:t>et al</w:t>
      </w:r>
      <w:r w:rsidRPr="00BB4B6E">
        <w:rPr>
          <w:color w:val="0E101A"/>
        </w:rPr>
        <w:t xml:space="preserve">., 2019; Raliya </w:t>
      </w:r>
      <w:r w:rsidRPr="00BB4B6E">
        <w:rPr>
          <w:rStyle w:val="Emphasis"/>
          <w:rFonts w:eastAsiaTheme="majorEastAsia"/>
          <w:color w:val="0E101A"/>
        </w:rPr>
        <w:t>et al</w:t>
      </w:r>
      <w:r w:rsidRPr="00BB4B6E">
        <w:rPr>
          <w:color w:val="0E101A"/>
        </w:rPr>
        <w:t xml:space="preserve">., 2015). </w:t>
      </w:r>
      <w:r w:rsidRPr="00BB4B6E">
        <w:rPr>
          <w:color w:val="000000" w:themeColor="text1"/>
        </w:rPr>
        <w:t>For instance</w:t>
      </w:r>
      <w:r w:rsidRPr="00BB4B6E">
        <w:t xml:space="preserve">, </w:t>
      </w:r>
      <w:r w:rsidR="00C226E6" w:rsidRPr="00BB4B6E">
        <w:fldChar w:fldCharType="begin" w:fldLock="1"/>
      </w:r>
      <w:r w:rsidRPr="00BB4B6E">
        <w:instrText>ADDIN CSL_CITATION {"citationItems":[{"id":"ITEM-1","itemData":{"author":[{"dropping-particle":"","family":"Raliya","given":"R.","non-dropping-particle":"","parse-names":false,"suffix":""},{"dropping-particle":"","family":"Biswas","given":"P.","non-dropping-particle":"","parse-names":false,"suffix":""},{"dropping-particle":"","family":"Tarafdar","given":"J. C.","non-dropping-particle":"","parse-names":false,"suffix":""}],"container-title":"Biotechnology Reports.","id":"ITEM-1","issued":{"date-parts":[["2015"]]},"page":"22-26.","title":"TiO2 nanoparticle biosynthesis and its physiological effect on mung bean (Vigna radiata L.).","type":"article-journal","volume":"5"},"uris":["http://www.mendeley.com/documents/?uuid=49aac69a-7f40-46e5-8c51-db122b36e8f3"]}],"mendeley":{"formattedCitation":"(Raliya et al., 2015)","manualFormatting":"Raliya et al.(2015)","plainTextFormattedCitation":"(Raliya et al., 2015)","previouslyFormattedCitation":"(Raliya et al., 2015)"},"properties":{"noteIndex":0},"schema":"https://github.com/citation-style-language/schema/raw/master/csl-citation.json"}</w:instrText>
      </w:r>
      <w:r w:rsidR="00C226E6" w:rsidRPr="00BB4B6E">
        <w:fldChar w:fldCharType="separate"/>
      </w:r>
      <w:r w:rsidRPr="00BB4B6E">
        <w:rPr>
          <w:noProof/>
        </w:rPr>
        <w:t xml:space="preserve">Raliya </w:t>
      </w:r>
      <w:r w:rsidRPr="00BB4B6E">
        <w:rPr>
          <w:i/>
          <w:noProof/>
        </w:rPr>
        <w:t>et al.</w:t>
      </w:r>
      <w:r w:rsidRPr="00BB4B6E">
        <w:rPr>
          <w:noProof/>
        </w:rPr>
        <w:t>(2015)</w:t>
      </w:r>
      <w:r w:rsidR="00C226E6" w:rsidRPr="00BB4B6E">
        <w:fldChar w:fldCharType="end"/>
      </w:r>
      <w:r w:rsidRPr="00BB4B6E">
        <w:t xml:space="preserve"> working with TiO</w:t>
      </w:r>
      <w:r w:rsidRPr="00BB4B6E">
        <w:rPr>
          <w:vertAlign w:val="subscript"/>
        </w:rPr>
        <w:t>2</w:t>
      </w:r>
      <w:r w:rsidRPr="00BB4B6E">
        <w:t xml:space="preserve"> nanoparticle foliar application on </w:t>
      </w:r>
      <w:r w:rsidRPr="00BB4B6E">
        <w:rPr>
          <w:i/>
        </w:rPr>
        <w:t>Cyamopsis Tetragonoloba</w:t>
      </w:r>
      <w:r w:rsidRPr="00BB4B6E">
        <w:t xml:space="preserve"> of 10 mg/L within 6 weeks and recorded higher plant height, dry weight biomass and nutrient uptake.</w:t>
      </w:r>
      <w:r>
        <w:t xml:space="preserve"> </w:t>
      </w:r>
      <w:r w:rsidRPr="00BB4B6E">
        <w:t xml:space="preserve">This result agrees with those posted by other researchers </w:t>
      </w:r>
      <w:r w:rsidR="00C226E6" w:rsidRPr="00BB4B6E">
        <w:fldChar w:fldCharType="begin" w:fldLock="1"/>
      </w:r>
      <w:r w:rsidRPr="00BB4B6E">
        <w:instrText>ADDIN CSL_CITATION {"citationItems":[{"id":"ITEM-1","itemData":{"author":[{"dropping-particle":"","family":"Joshi","given":"A.","non-dropping-particle":"","parse-names":false,"suffix":""},{"dropping-particle":"","family":"Kaur","given":"S.","non-dropping-particle":"","parse-names":false,"suffix":""},{"dropping-particle":"","family":"Dharamvir","given":"K.","non-dropping-particle":"","parse-names":false,"suffix":""},{"dropping-particle":"","family":"Nayyar","given":"H.","non-dropping-particle":"","parse-names":false,"suffix":""},{"dropping-particle":"","family":"Verma","given":"G.","non-dropping-particle":"","parse-names":false,"suffix":""}],"container-title":"Journal of Science and Food Agriculture.","id":"ITEM-1","issued":{"date-parts":[["2018"]]},"page":"3148–3160.","title":"Multi-walled carbon nanotubes applied through seed-priming influence early germination, root hair, growth and yield of bread wheat (Triticum aestivum L.)","type":"article-journal","volume":"98"},"uris":["http://www.mendeley.com/documents/?uuid=82159b39-f43c-42bb-a788-e13f322bbf09"]}],"mendeley":{"formattedCitation":"(Joshi et al., 2018)","manualFormatting":"(Joshi et al., 2018","plainTextFormattedCitation":"(Joshi et al., 2018)","previouslyFormattedCitation":"(Joshi et al., 2018)"},"properties":{"noteIndex":0},"schema":"https://github.com/citation-style-language/schema/raw/master/csl-citation.json"}</w:instrText>
      </w:r>
      <w:r w:rsidR="00C226E6" w:rsidRPr="00BB4B6E">
        <w:fldChar w:fldCharType="separate"/>
      </w:r>
      <w:r w:rsidRPr="00BB4B6E">
        <w:rPr>
          <w:noProof/>
        </w:rPr>
        <w:t xml:space="preserve">(Joshi </w:t>
      </w:r>
      <w:r w:rsidRPr="00BB4B6E">
        <w:rPr>
          <w:i/>
          <w:noProof/>
        </w:rPr>
        <w:t>et al</w:t>
      </w:r>
      <w:r w:rsidRPr="00BB4B6E">
        <w:rPr>
          <w:noProof/>
        </w:rPr>
        <w:t>., 2018</w:t>
      </w:r>
      <w:r w:rsidR="00C226E6" w:rsidRPr="00BB4B6E">
        <w:fldChar w:fldCharType="end"/>
      </w:r>
      <w:r w:rsidRPr="00BB4B6E">
        <w:t xml:space="preserve">; </w:t>
      </w:r>
      <w:r w:rsidR="00C226E6" w:rsidRPr="00BB4B6E">
        <w:fldChar w:fldCharType="begin" w:fldLock="1"/>
      </w:r>
      <w:r w:rsidRPr="00BB4B6E">
        <w:instrText>ADDIN CSL_CITATION {"citationItems":[{"id":"ITEM-1","itemData":{"author":[{"dropping-particle":"","family":"Yuvakkumar","given":"R.","non-dropping-particle":"","parse-names":false,"suffix":""},{"dropping-particle":"","family":"Elango","given":"V.","non-dropping-particle":"","parse-names":false,"suffix":""},{"dropping-particle":"","family":"Rajendran","given":"V.","non-dropping-particle":"","parse-names":false,"suffix":""},{"dropping-particle":"","family":"Kannan","given":"N. S.","non-dropping-particle":"","parse-names":false,"suffix":""},{"dropping-particle":"","family":"Prabu","given":"P.","non-dropping-particle":"","parse-names":false,"suffix":""}],"container-title":"International Journal of Green Nanotechnology.","id":"ITEM-1","issue":"3","issued":{"date-parts":[["2011"]]},"page":"80–190.","title":"Influence of nanosilica powder on the growth of maize crop (Zea Mays L.).","type":"article-journal","volume":"3"},"uris":["http://www.mendeley.com/documents/?uuid=012f95b9-00cc-4452-8881-e96a731a7d82"]}],"mendeley":{"formattedCitation":"(Yuvakkumar et al., 2011)","manualFormatting":"Yuvakkumar et al., 2011","plainTextFormattedCitation":"(Yuvakkumar et al., 2011)","previouslyFormattedCitation":"(Yuvakkumar et al., 2011)"},"properties":{"noteIndex":0},"schema":"https://github.com/citation-style-language/schema/raw/master/csl-citation.json"}</w:instrText>
      </w:r>
      <w:r w:rsidR="00C226E6" w:rsidRPr="00BB4B6E">
        <w:fldChar w:fldCharType="separate"/>
      </w:r>
      <w:r w:rsidRPr="00BB4B6E">
        <w:rPr>
          <w:noProof/>
        </w:rPr>
        <w:t xml:space="preserve">Disfani </w:t>
      </w:r>
      <w:r w:rsidRPr="00BB4B6E">
        <w:rPr>
          <w:i/>
          <w:noProof/>
        </w:rPr>
        <w:t>et al.</w:t>
      </w:r>
      <w:r w:rsidRPr="00BB4B6E">
        <w:rPr>
          <w:noProof/>
        </w:rPr>
        <w:t>, 201</w:t>
      </w:r>
      <w:r w:rsidR="00C226E6" w:rsidRPr="00BB4B6E">
        <w:fldChar w:fldCharType="end"/>
      </w:r>
      <w:r w:rsidRPr="00BB4B6E">
        <w:t xml:space="preserve">7 and </w:t>
      </w:r>
      <w:r w:rsidR="00C226E6" w:rsidRPr="00BB4B6E">
        <w:fldChar w:fldCharType="begin" w:fldLock="1"/>
      </w:r>
      <w:r w:rsidRPr="00BB4B6E">
        <w:instrText>ADDIN CSL_CITATION {"citationItems":[{"id":"ITEM-1","itemData":{"author":[{"dropping-particle":"","family":"Lee","given":"W. M.","non-dropping-particle":"","parse-names":false,"suffix":""},{"dropping-particle":"","family":"Kwak","given":"J. I.","non-dropping-particle":"","parse-names":false,"suffix":""},{"dropping-particle":"","family":"An","given":"Y. J.","non-dropping-particle":"","parse-names":false,"suffix":""}],"container-title":"Chemosphere","id":"ITEM-1","issued":{"date-parts":[["2012"]]},"page":"492-499.","title":"Effect of Silver nano particles in crop plants Phaseolus radiates and Sorghum bicolor; Media effect on phytotoxicity.","type":"article-journal","volume":"86"},"uris":["http://www.mendeley.com/documents/?uuid=d8bd34dc-c710-40f9-9805-4166a98287f0"]}],"mendeley":{"formattedCitation":"(Lee et al., 2012)","manualFormatting":"Lee et al., 2012)","plainTextFormattedCitation":"(Lee et al., 2012)","previouslyFormattedCitation":"(Lee et al., 2012)"},"properties":{"noteIndex":0},"schema":"https://github.com/citation-style-language/schema/raw/master/csl-citation.json"}</w:instrText>
      </w:r>
      <w:r w:rsidR="00C226E6" w:rsidRPr="00BB4B6E">
        <w:fldChar w:fldCharType="separate"/>
      </w:r>
      <w:r w:rsidRPr="00BB4B6E">
        <w:rPr>
          <w:noProof/>
        </w:rPr>
        <w:t xml:space="preserve">Lee </w:t>
      </w:r>
      <w:r w:rsidRPr="00BB4B6E">
        <w:rPr>
          <w:i/>
          <w:noProof/>
        </w:rPr>
        <w:t>et al.</w:t>
      </w:r>
      <w:r w:rsidRPr="00BB4B6E">
        <w:rPr>
          <w:noProof/>
        </w:rPr>
        <w:t>, 2012)</w:t>
      </w:r>
      <w:r w:rsidR="00C226E6" w:rsidRPr="00BB4B6E">
        <w:fldChar w:fldCharType="end"/>
      </w:r>
      <w:r w:rsidRPr="00BB4B6E">
        <w:t>.</w:t>
      </w:r>
    </w:p>
    <w:p w:rsidR="00F934C1" w:rsidRPr="00BB4B6E" w:rsidRDefault="00F934C1" w:rsidP="00F934C1">
      <w:pPr>
        <w:rPr>
          <w:color w:val="000000" w:themeColor="text1"/>
        </w:rPr>
      </w:pPr>
    </w:p>
    <w:p w:rsidR="00F934C1" w:rsidRPr="00BB4B6E" w:rsidRDefault="00F934C1" w:rsidP="00F934C1">
      <w:pPr>
        <w:pStyle w:val="Heading3"/>
        <w:spacing w:before="0"/>
        <w:rPr>
          <w:rFonts w:cs="Times New Roman"/>
        </w:rPr>
      </w:pPr>
      <w:bookmarkStart w:id="227" w:name="_Toc144820063"/>
      <w:bookmarkStart w:id="228" w:name="_Toc62228772"/>
      <w:r w:rsidRPr="00BB4B6E">
        <w:rPr>
          <w:rFonts w:cs="Times New Roman"/>
          <w:color w:val="auto"/>
        </w:rPr>
        <w:t>4.5.</w:t>
      </w:r>
      <w:r w:rsidRPr="00BB4B6E">
        <w:rPr>
          <w:rFonts w:cs="Times New Roman"/>
        </w:rPr>
        <w:t>2 Dry Weight, Leaf Diameter and Plant Number of Leaves</w:t>
      </w:r>
      <w:bookmarkEnd w:id="227"/>
    </w:p>
    <w:p w:rsidR="00F934C1" w:rsidRPr="00BB4B6E" w:rsidRDefault="00F934C1" w:rsidP="00F934C1">
      <w:pPr>
        <w:rPr>
          <w:color w:val="000000"/>
          <w:lang w:val="sw-KE" w:eastAsia="sw-KE"/>
        </w:rPr>
      </w:pPr>
      <w:bookmarkStart w:id="229" w:name="_Toc85455569"/>
      <w:bookmarkEnd w:id="228"/>
      <w:r w:rsidRPr="00BB4B6E">
        <w:t xml:space="preserve">The dry weight, leaf diameter and number of leaves of kales, spinach and beans </w:t>
      </w:r>
      <w:r w:rsidRPr="00BB4B6E">
        <w:rPr>
          <w:color w:val="0E101A"/>
        </w:rPr>
        <w:t xml:space="preserve">grown using Synthetic and bone hydroxyapatite nano-fertilizers </w:t>
      </w:r>
      <w:r w:rsidRPr="00BB4B6E">
        <w:t>at 90 days are presented for kale (Tables 4.14), spinach (Table 4.15) and beans (Table 4.16).</w:t>
      </w:r>
    </w:p>
    <w:p w:rsidR="00F934C1" w:rsidRPr="00BB4B6E" w:rsidRDefault="00F934C1" w:rsidP="00F934C1">
      <w:pPr>
        <w:pStyle w:val="Caption"/>
        <w:rPr>
          <w:color w:val="000000" w:themeColor="text1"/>
        </w:rPr>
      </w:pPr>
    </w:p>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Pr>
        <w:pStyle w:val="Caption"/>
        <w:spacing w:after="0"/>
        <w:rPr>
          <w:color w:val="auto"/>
          <w:sz w:val="24"/>
          <w:szCs w:val="24"/>
        </w:rPr>
      </w:pPr>
      <w:bookmarkStart w:id="230" w:name="_Toc112877978"/>
      <w:bookmarkStart w:id="231" w:name="_Toc112880609"/>
    </w:p>
    <w:p w:rsidR="00F934C1" w:rsidRPr="00BB4B6E" w:rsidRDefault="00F934C1" w:rsidP="00F934C1">
      <w:pPr>
        <w:pStyle w:val="Caption"/>
        <w:spacing w:after="0"/>
        <w:rPr>
          <w:color w:val="auto"/>
          <w:sz w:val="24"/>
          <w:szCs w:val="24"/>
        </w:rPr>
      </w:pPr>
    </w:p>
    <w:p w:rsidR="00F934C1" w:rsidRPr="00BB4B6E" w:rsidRDefault="00F934C1" w:rsidP="00F934C1">
      <w:pPr>
        <w:pStyle w:val="Caption"/>
        <w:spacing w:after="0"/>
        <w:rPr>
          <w:color w:val="auto"/>
          <w:sz w:val="24"/>
          <w:szCs w:val="24"/>
        </w:rPr>
      </w:pPr>
    </w:p>
    <w:p w:rsidR="00F934C1" w:rsidRPr="00BB4B6E" w:rsidRDefault="00F934C1" w:rsidP="00F934C1">
      <w:pPr>
        <w:autoSpaceDE/>
        <w:autoSpaceDN/>
        <w:adjustRightInd/>
        <w:spacing w:after="200" w:line="276" w:lineRule="auto"/>
        <w:jc w:val="left"/>
        <w:rPr>
          <w:b/>
          <w:bCs/>
        </w:rPr>
      </w:pPr>
      <w:r w:rsidRPr="00BB4B6E">
        <w:br w:type="page"/>
      </w:r>
    </w:p>
    <w:p w:rsidR="00F934C1" w:rsidRPr="00BB4B6E" w:rsidRDefault="00F934C1" w:rsidP="00F934C1">
      <w:pPr>
        <w:pStyle w:val="Heading4"/>
      </w:pPr>
      <w:bookmarkStart w:id="232" w:name="_Toc120047580"/>
      <w:bookmarkStart w:id="233" w:name="_Toc144222345"/>
      <w:r w:rsidRPr="00BB4B6E">
        <w:rPr>
          <w:color w:val="auto"/>
        </w:rPr>
        <w:lastRenderedPageBreak/>
        <w:t>Table 4.14: The</w:t>
      </w:r>
      <w:r w:rsidRPr="00BB4B6E">
        <w:t xml:space="preserve"> 90 day dry weight, leaf diameter and number of leaves </w:t>
      </w:r>
      <w:r>
        <w:t>in k</w:t>
      </w:r>
      <w:r w:rsidRPr="00BB4B6E">
        <w:t>ales grown using nano-fertilizers</w:t>
      </w:r>
      <w:bookmarkEnd w:id="229"/>
      <w:bookmarkEnd w:id="230"/>
      <w:bookmarkEnd w:id="231"/>
      <w:bookmarkEnd w:id="232"/>
      <w:bookmarkEnd w:id="233"/>
    </w:p>
    <w:tbl>
      <w:tblPr>
        <w:tblW w:w="8643" w:type="dxa"/>
        <w:tblInd w:w="-32" w:type="dxa"/>
        <w:tblCellMar>
          <w:left w:w="0" w:type="dxa"/>
          <w:right w:w="0" w:type="dxa"/>
        </w:tblCellMar>
        <w:tblLook w:val="04A0" w:firstRow="1" w:lastRow="0" w:firstColumn="1" w:lastColumn="0" w:noHBand="0" w:noVBand="1"/>
      </w:tblPr>
      <w:tblGrid>
        <w:gridCol w:w="2430"/>
        <w:gridCol w:w="1560"/>
        <w:gridCol w:w="1500"/>
        <w:gridCol w:w="1803"/>
        <w:gridCol w:w="1350"/>
      </w:tblGrid>
      <w:tr w:rsidR="00F934C1" w:rsidRPr="00BB4B6E" w:rsidTr="00F934C1">
        <w:trPr>
          <w:trHeight w:val="800"/>
        </w:trPr>
        <w:tc>
          <w:tcPr>
            <w:tcW w:w="243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4863"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0B2FDC" w:rsidP="00F934C1">
            <w:pPr>
              <w:autoSpaceDE/>
              <w:autoSpaceDN/>
              <w:adjustRightInd/>
              <w:spacing w:line="276" w:lineRule="auto"/>
              <w:ind w:left="187"/>
              <w:jc w:val="center"/>
              <w:rPr>
                <w:rFonts w:eastAsia="Calibri"/>
                <w:b/>
                <w:bCs/>
                <w:color w:val="000000"/>
                <w:kern w:val="24"/>
              </w:rPr>
            </w:pPr>
            <w:r>
              <w:rPr>
                <w:rFonts w:eastAsia="Calibri"/>
                <w:b/>
                <w:bCs/>
                <w:color w:val="000000"/>
                <w:kern w:val="24"/>
              </w:rPr>
              <w:t xml:space="preserve">[Kale growth </w:t>
            </w:r>
            <w:r w:rsidR="00F934C1" w:rsidRPr="00BB4B6E">
              <w:rPr>
                <w:rFonts w:eastAsia="Calibri"/>
                <w:b/>
                <w:bCs/>
                <w:color w:val="000000"/>
                <w:kern w:val="24"/>
              </w:rPr>
              <w:t>parameters]</w:t>
            </w:r>
          </w:p>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b/>
                <w:color w:val="000000"/>
              </w:rPr>
              <w:t>Mean± SD</w:t>
            </w:r>
          </w:p>
          <w:p w:rsidR="00F934C1" w:rsidRPr="00BB4B6E" w:rsidRDefault="00F934C1" w:rsidP="00F934C1">
            <w:pPr>
              <w:autoSpaceDE/>
              <w:autoSpaceDN/>
              <w:adjustRightInd/>
              <w:spacing w:line="276" w:lineRule="auto"/>
              <w:ind w:left="187"/>
              <w:jc w:val="center"/>
            </w:pPr>
            <w:r w:rsidRPr="00BB4B6E">
              <w:rPr>
                <w:b/>
                <w:color w:val="000000"/>
              </w:rPr>
              <w:t>n=9</w:t>
            </w:r>
          </w:p>
        </w:tc>
        <w:tc>
          <w:tcPr>
            <w:tcW w:w="1350" w:type="dxa"/>
            <w:tcBorders>
              <w:top w:val="single" w:sz="8" w:space="0" w:color="000000"/>
              <w:left w:val="nil"/>
              <w:bottom w:val="single" w:sz="8" w:space="0" w:color="000000"/>
              <w:right w:val="nil"/>
            </w:tcBorders>
          </w:tcPr>
          <w:p w:rsidR="00F934C1" w:rsidRPr="00BB4B6E" w:rsidRDefault="00F934C1" w:rsidP="00F934C1">
            <w:pPr>
              <w:autoSpaceDE/>
              <w:autoSpaceDN/>
              <w:adjustRightInd/>
              <w:spacing w:line="240" w:lineRule="auto"/>
              <w:jc w:val="left"/>
            </w:pPr>
          </w:p>
        </w:tc>
      </w:tr>
      <w:tr w:rsidR="00F934C1" w:rsidRPr="00BB4B6E" w:rsidTr="00F934C1">
        <w:trPr>
          <w:trHeight w:val="480"/>
        </w:trPr>
        <w:tc>
          <w:tcPr>
            <w:tcW w:w="2430" w:type="dxa"/>
            <w:tcBorders>
              <w:top w:val="single" w:sz="8" w:space="0" w:color="000000"/>
              <w:bottom w:val="single" w:sz="4" w:space="0" w:color="auto"/>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560" w:type="dxa"/>
            <w:tcBorders>
              <w:top w:val="single" w:sz="8" w:space="0" w:color="000000"/>
              <w:left w:val="nil"/>
              <w:bottom w:val="single" w:sz="4" w:space="0" w:color="auto"/>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rPr>
                <w:b/>
              </w:rPr>
            </w:pPr>
            <w:r w:rsidRPr="00BB4B6E">
              <w:rPr>
                <w:rFonts w:eastAsia="Calibri"/>
                <w:b/>
                <w:color w:val="000000"/>
                <w:kern w:val="24"/>
              </w:rPr>
              <w:t>Height (cm)</w:t>
            </w:r>
          </w:p>
        </w:tc>
        <w:tc>
          <w:tcPr>
            <w:tcW w:w="1500" w:type="dxa"/>
            <w:tcBorders>
              <w:top w:val="single" w:sz="8" w:space="0" w:color="000000"/>
              <w:left w:val="nil"/>
              <w:bottom w:val="single" w:sz="4" w:space="0" w:color="auto"/>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rPr>
                <w:b/>
              </w:rPr>
            </w:pPr>
            <w:r w:rsidRPr="00BB4B6E">
              <w:rPr>
                <w:rFonts w:eastAsia="Calibri"/>
                <w:b/>
                <w:color w:val="000000"/>
                <w:kern w:val="24"/>
              </w:rPr>
              <w:t>L. Diameter (mm)</w:t>
            </w:r>
          </w:p>
        </w:tc>
        <w:tc>
          <w:tcPr>
            <w:tcW w:w="1800" w:type="dxa"/>
            <w:tcBorders>
              <w:top w:val="single" w:sz="8" w:space="0" w:color="000000"/>
              <w:left w:val="nil"/>
              <w:bottom w:val="single" w:sz="4" w:space="0" w:color="auto"/>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rPr>
                <w:b/>
              </w:rPr>
            </w:pPr>
            <w:r w:rsidRPr="00BB4B6E">
              <w:rPr>
                <w:rFonts w:eastAsia="Calibri"/>
                <w:b/>
                <w:color w:val="000000"/>
                <w:kern w:val="24"/>
              </w:rPr>
              <w:t>Dry weight (g)</w:t>
            </w:r>
          </w:p>
        </w:tc>
        <w:tc>
          <w:tcPr>
            <w:tcW w:w="1350" w:type="dxa"/>
            <w:tcBorders>
              <w:top w:val="single" w:sz="8" w:space="0" w:color="000000"/>
              <w:left w:val="nil"/>
              <w:bottom w:val="single" w:sz="4" w:space="0" w:color="auto"/>
              <w:right w:val="nil"/>
            </w:tcBorders>
          </w:tcPr>
          <w:p w:rsidR="00F934C1" w:rsidRPr="00BB4B6E" w:rsidRDefault="00F934C1" w:rsidP="00F934C1">
            <w:pPr>
              <w:autoSpaceDE/>
              <w:autoSpaceDN/>
              <w:adjustRightInd/>
              <w:spacing w:line="276" w:lineRule="auto"/>
              <w:jc w:val="left"/>
              <w:rPr>
                <w:rFonts w:eastAsia="Calibri"/>
                <w:b/>
                <w:bCs/>
                <w:color w:val="000000"/>
                <w:kern w:val="24"/>
              </w:rPr>
            </w:pPr>
            <w:r w:rsidRPr="00BB4B6E">
              <w:rPr>
                <w:rFonts w:eastAsia="Calibri"/>
                <w:b/>
                <w:color w:val="000000"/>
                <w:kern w:val="24"/>
              </w:rPr>
              <w:t>No. leaves</w:t>
            </w:r>
          </w:p>
        </w:tc>
      </w:tr>
      <w:tr w:rsidR="00F934C1" w:rsidRPr="00BB4B6E" w:rsidTr="00F934C1">
        <w:trPr>
          <w:cantSplit/>
          <w:trHeight w:val="236"/>
        </w:trPr>
        <w:tc>
          <w:tcPr>
            <w:tcW w:w="2430" w:type="dxa"/>
            <w:tcBorders>
              <w:top w:val="single" w:sz="4" w:space="0" w:color="auto"/>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Bone nHA </w:t>
            </w:r>
          </w:p>
        </w:tc>
        <w:tc>
          <w:tcPr>
            <w:tcW w:w="1560" w:type="dxa"/>
            <w:tcBorders>
              <w:top w:val="single" w:sz="4" w:space="0" w:color="auto"/>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88.00±2.65</w:t>
            </w:r>
            <w:r w:rsidRPr="00BB4B6E">
              <w:rPr>
                <w:b w:val="0"/>
                <w:color w:val="auto"/>
                <w:sz w:val="24"/>
                <w:szCs w:val="24"/>
                <w:vertAlign w:val="superscript"/>
              </w:rPr>
              <w:t>e</w:t>
            </w:r>
          </w:p>
        </w:tc>
        <w:tc>
          <w:tcPr>
            <w:tcW w:w="1500" w:type="dxa"/>
            <w:tcBorders>
              <w:top w:val="single" w:sz="4" w:space="0" w:color="auto"/>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23.00±1.15</w:t>
            </w:r>
            <w:r w:rsidRPr="00BB4B6E">
              <w:rPr>
                <w:b w:val="0"/>
                <w:color w:val="auto"/>
                <w:sz w:val="24"/>
                <w:szCs w:val="24"/>
                <w:vertAlign w:val="superscript"/>
              </w:rPr>
              <w:t>c</w:t>
            </w:r>
          </w:p>
        </w:tc>
        <w:tc>
          <w:tcPr>
            <w:tcW w:w="1800" w:type="dxa"/>
            <w:tcBorders>
              <w:top w:val="single" w:sz="4" w:space="0" w:color="auto"/>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150.00±1.73</w:t>
            </w:r>
            <w:r w:rsidRPr="00BB4B6E">
              <w:rPr>
                <w:b w:val="0"/>
                <w:color w:val="auto"/>
                <w:sz w:val="24"/>
                <w:szCs w:val="24"/>
                <w:vertAlign w:val="superscript"/>
              </w:rPr>
              <w:t>e</w:t>
            </w:r>
          </w:p>
        </w:tc>
        <w:tc>
          <w:tcPr>
            <w:tcW w:w="1350" w:type="dxa"/>
            <w:tcBorders>
              <w:top w:val="single" w:sz="4" w:space="0" w:color="auto"/>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28.00±1.15</w:t>
            </w:r>
            <w:r w:rsidRPr="00BB4B6E">
              <w:rPr>
                <w:b w:val="0"/>
                <w:color w:val="auto"/>
                <w:sz w:val="24"/>
                <w:szCs w:val="24"/>
                <w:vertAlign w:val="superscript"/>
              </w:rPr>
              <w:t>d</w:t>
            </w: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w:t>
            </w:r>
          </w:p>
        </w:tc>
        <w:tc>
          <w:tcPr>
            <w:tcW w:w="156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83.67±3.18</w:t>
            </w:r>
            <w:r w:rsidRPr="00BB4B6E">
              <w:rPr>
                <w:b w:val="0"/>
                <w:color w:val="auto"/>
                <w:sz w:val="24"/>
                <w:szCs w:val="24"/>
                <w:vertAlign w:val="superscript"/>
              </w:rPr>
              <w:t>d</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20.00±1.00</w:t>
            </w:r>
            <w:r w:rsidRPr="00BB4B6E">
              <w:rPr>
                <w:b w:val="0"/>
                <w:color w:val="auto"/>
                <w:sz w:val="24"/>
                <w:szCs w:val="24"/>
                <w:vertAlign w:val="superscript"/>
              </w:rPr>
              <w:t>b</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145.00±1.53</w:t>
            </w:r>
            <w:r w:rsidRPr="00BB4B6E">
              <w:rPr>
                <w:b w:val="0"/>
                <w:color w:val="auto"/>
                <w:sz w:val="24"/>
                <w:szCs w:val="24"/>
                <w:vertAlign w:val="superscript"/>
              </w:rPr>
              <w:t>d</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24.00±0.58</w:t>
            </w:r>
            <w:r w:rsidRPr="00BB4B6E">
              <w:rPr>
                <w:b w:val="0"/>
                <w:color w:val="auto"/>
                <w:sz w:val="24"/>
                <w:szCs w:val="24"/>
                <w:vertAlign w:val="superscript"/>
              </w:rPr>
              <w:t>c</w:t>
            </w:r>
          </w:p>
        </w:tc>
      </w:tr>
      <w:tr w:rsidR="00F934C1" w:rsidRPr="00BB4B6E" w:rsidTr="00F934C1">
        <w:trPr>
          <w:cantSplit/>
          <w:trHeight w:val="373"/>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 +DAP </w:t>
            </w:r>
          </w:p>
        </w:tc>
        <w:tc>
          <w:tcPr>
            <w:tcW w:w="156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87.67±1.76</w:t>
            </w:r>
            <w:r w:rsidRPr="00BB4B6E">
              <w:rPr>
                <w:b w:val="0"/>
                <w:color w:val="auto"/>
                <w:sz w:val="24"/>
                <w:szCs w:val="24"/>
                <w:vertAlign w:val="superscript"/>
              </w:rPr>
              <w:t>e</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21.00±0.58</w:t>
            </w:r>
            <w:r w:rsidRPr="00BB4B6E">
              <w:rPr>
                <w:b w:val="0"/>
                <w:color w:val="auto"/>
                <w:sz w:val="24"/>
                <w:szCs w:val="24"/>
                <w:vertAlign w:val="superscript"/>
              </w:rPr>
              <w:t>c</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151.33±1.20</w:t>
            </w:r>
            <w:r w:rsidRPr="00BB4B6E">
              <w:rPr>
                <w:b w:val="0"/>
                <w:color w:val="auto"/>
                <w:sz w:val="24"/>
                <w:szCs w:val="24"/>
                <w:vertAlign w:val="superscript"/>
              </w:rPr>
              <w:t>e</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28.67±1.20</w:t>
            </w:r>
            <w:r w:rsidRPr="00BB4B6E">
              <w:rPr>
                <w:b w:val="0"/>
                <w:color w:val="auto"/>
                <w:sz w:val="24"/>
                <w:szCs w:val="24"/>
                <w:vertAlign w:val="superscript"/>
              </w:rPr>
              <w:t>d</w:t>
            </w:r>
          </w:p>
        </w:tc>
      </w:tr>
      <w:tr w:rsidR="00F934C1" w:rsidRPr="00BB4B6E" w:rsidTr="00F934C1">
        <w:trPr>
          <w:cantSplit/>
          <w:trHeight w:val="7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+DAP </w:t>
            </w:r>
          </w:p>
        </w:tc>
        <w:tc>
          <w:tcPr>
            <w:tcW w:w="156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83.67±0.88</w:t>
            </w:r>
            <w:r w:rsidRPr="00BB4B6E">
              <w:rPr>
                <w:b w:val="0"/>
                <w:color w:val="auto"/>
                <w:sz w:val="24"/>
                <w:szCs w:val="24"/>
                <w:vertAlign w:val="superscript"/>
              </w:rPr>
              <w:t>d</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18.67±0.88</w:t>
            </w:r>
            <w:r w:rsidRPr="00BB4B6E">
              <w:rPr>
                <w:b w:val="0"/>
                <w:color w:val="auto"/>
                <w:sz w:val="24"/>
                <w:szCs w:val="24"/>
                <w:vertAlign w:val="superscript"/>
              </w:rPr>
              <w:t>b</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141.33±0.88</w:t>
            </w:r>
            <w:r w:rsidRPr="00BB4B6E">
              <w:rPr>
                <w:b w:val="0"/>
                <w:color w:val="auto"/>
                <w:sz w:val="24"/>
                <w:szCs w:val="24"/>
                <w:vertAlign w:val="superscript"/>
              </w:rPr>
              <w:t>cd</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24.33±1.20</w:t>
            </w:r>
            <w:r w:rsidRPr="00BB4B6E">
              <w:rPr>
                <w:b w:val="0"/>
                <w:color w:val="auto"/>
                <w:sz w:val="24"/>
                <w:szCs w:val="24"/>
                <w:vertAlign w:val="superscript"/>
              </w:rPr>
              <w:t>c</w:t>
            </w:r>
          </w:p>
        </w:tc>
      </w:tr>
      <w:tr w:rsidR="00F934C1" w:rsidRPr="00BB4B6E" w:rsidTr="00F934C1">
        <w:trPr>
          <w:cantSplit/>
          <w:trHeight w:val="148"/>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 NPK  </w:t>
            </w:r>
          </w:p>
        </w:tc>
        <w:tc>
          <w:tcPr>
            <w:tcW w:w="156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104.33±1.45</w:t>
            </w:r>
            <w:r w:rsidRPr="00BB4B6E">
              <w:rPr>
                <w:b w:val="0"/>
                <w:color w:val="auto"/>
                <w:sz w:val="24"/>
                <w:szCs w:val="24"/>
                <w:vertAlign w:val="superscript"/>
              </w:rPr>
              <w:t>g</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21.33±1.45</w:t>
            </w:r>
            <w:r w:rsidRPr="00BB4B6E">
              <w:rPr>
                <w:b w:val="0"/>
                <w:color w:val="auto"/>
                <w:sz w:val="24"/>
                <w:szCs w:val="24"/>
                <w:vertAlign w:val="superscript"/>
              </w:rPr>
              <w:t>c</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154.00±1.53</w:t>
            </w:r>
            <w:r w:rsidRPr="00BB4B6E">
              <w:rPr>
                <w:b w:val="0"/>
                <w:color w:val="auto"/>
                <w:sz w:val="24"/>
                <w:szCs w:val="24"/>
                <w:vertAlign w:val="superscript"/>
              </w:rPr>
              <w:t>f</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29.33±1.45</w:t>
            </w:r>
            <w:r w:rsidRPr="00BB4B6E">
              <w:rPr>
                <w:b w:val="0"/>
                <w:color w:val="auto"/>
                <w:sz w:val="24"/>
                <w:szCs w:val="24"/>
                <w:vertAlign w:val="superscript"/>
              </w:rPr>
              <w:t>d</w:t>
            </w: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NPK  </w:t>
            </w:r>
          </w:p>
        </w:tc>
        <w:tc>
          <w:tcPr>
            <w:tcW w:w="156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93.00±1.15</w:t>
            </w:r>
            <w:r w:rsidRPr="00BB4B6E">
              <w:rPr>
                <w:b w:val="0"/>
                <w:color w:val="auto"/>
                <w:sz w:val="24"/>
                <w:szCs w:val="24"/>
                <w:vertAlign w:val="superscript"/>
              </w:rPr>
              <w:t>f</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19.00±0.58</w:t>
            </w:r>
            <w:r w:rsidRPr="00BB4B6E">
              <w:rPr>
                <w:b w:val="0"/>
                <w:color w:val="auto"/>
                <w:sz w:val="24"/>
                <w:szCs w:val="24"/>
                <w:vertAlign w:val="superscript"/>
              </w:rPr>
              <w:t>b</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145.33±6.36</w:t>
            </w:r>
            <w:r w:rsidRPr="00BB4B6E">
              <w:rPr>
                <w:b w:val="0"/>
                <w:color w:val="auto"/>
                <w:sz w:val="24"/>
                <w:szCs w:val="24"/>
                <w:vertAlign w:val="superscript"/>
              </w:rPr>
              <w:t>d</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23.00±0.58</w:t>
            </w:r>
            <w:r w:rsidRPr="00BB4B6E">
              <w:rPr>
                <w:b w:val="0"/>
                <w:color w:val="auto"/>
                <w:sz w:val="24"/>
                <w:szCs w:val="24"/>
                <w:vertAlign w:val="superscript"/>
              </w:rPr>
              <w:t>c</w:t>
            </w: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nHA+DAP+NPK </w:t>
            </w:r>
          </w:p>
        </w:tc>
        <w:tc>
          <w:tcPr>
            <w:tcW w:w="156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88.00±1.53</w:t>
            </w:r>
            <w:r w:rsidRPr="00BB4B6E">
              <w:rPr>
                <w:b w:val="0"/>
                <w:color w:val="auto"/>
                <w:sz w:val="24"/>
                <w:szCs w:val="24"/>
                <w:vertAlign w:val="superscript"/>
              </w:rPr>
              <w:t>d</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21.00±1.53</w:t>
            </w:r>
            <w:r w:rsidRPr="00BB4B6E">
              <w:rPr>
                <w:b w:val="0"/>
                <w:color w:val="auto"/>
                <w:sz w:val="24"/>
                <w:szCs w:val="24"/>
                <w:vertAlign w:val="superscript"/>
              </w:rPr>
              <w:t>c</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152.67±1.45</w:t>
            </w:r>
            <w:r w:rsidRPr="00BB4B6E">
              <w:rPr>
                <w:b w:val="0"/>
                <w:color w:val="auto"/>
                <w:sz w:val="24"/>
                <w:szCs w:val="24"/>
                <w:vertAlign w:val="superscript"/>
              </w:rPr>
              <w:t>d</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28.67±0.88</w:t>
            </w:r>
            <w:r w:rsidRPr="00BB4B6E">
              <w:rPr>
                <w:b w:val="0"/>
                <w:color w:val="auto"/>
                <w:sz w:val="24"/>
                <w:szCs w:val="24"/>
                <w:vertAlign w:val="superscript"/>
              </w:rPr>
              <w:t>d</w:t>
            </w: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nHA+DAP+NPK </w:t>
            </w:r>
          </w:p>
        </w:tc>
        <w:tc>
          <w:tcPr>
            <w:tcW w:w="156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70.33±0.88</w:t>
            </w:r>
            <w:r w:rsidRPr="00BB4B6E">
              <w:rPr>
                <w:b w:val="0"/>
                <w:color w:val="auto"/>
                <w:sz w:val="24"/>
                <w:szCs w:val="24"/>
                <w:vertAlign w:val="superscript"/>
              </w:rPr>
              <w:t>c</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19.00±0.58</w:t>
            </w:r>
            <w:r w:rsidRPr="00BB4B6E">
              <w:rPr>
                <w:b w:val="0"/>
                <w:color w:val="auto"/>
                <w:sz w:val="24"/>
                <w:szCs w:val="24"/>
                <w:vertAlign w:val="superscript"/>
              </w:rPr>
              <w:t>b</w:t>
            </w:r>
          </w:p>
        </w:tc>
        <w:tc>
          <w:tcPr>
            <w:tcW w:w="18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137.33±2.19</w:t>
            </w:r>
            <w:r w:rsidRPr="00BB4B6E">
              <w:rPr>
                <w:b w:val="0"/>
                <w:color w:val="auto"/>
                <w:sz w:val="24"/>
                <w:szCs w:val="24"/>
                <w:vertAlign w:val="superscript"/>
              </w:rPr>
              <w:t>c</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21.67±1.20</w:t>
            </w:r>
            <w:r w:rsidRPr="00BB4B6E">
              <w:rPr>
                <w:b w:val="0"/>
                <w:color w:val="auto"/>
                <w:sz w:val="24"/>
                <w:szCs w:val="24"/>
                <w:vertAlign w:val="superscript"/>
              </w:rPr>
              <w:t>c</w:t>
            </w: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DAP</w:t>
            </w:r>
          </w:p>
        </w:tc>
        <w:tc>
          <w:tcPr>
            <w:tcW w:w="156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46.00±1.73</w:t>
            </w:r>
            <w:r w:rsidRPr="00BB4B6E">
              <w:rPr>
                <w:b w:val="0"/>
                <w:color w:val="auto"/>
                <w:sz w:val="24"/>
                <w:szCs w:val="24"/>
                <w:vertAlign w:val="superscript"/>
              </w:rPr>
              <w:t>b</w:t>
            </w:r>
          </w:p>
        </w:tc>
        <w:tc>
          <w:tcPr>
            <w:tcW w:w="15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13.33±0.33</w:t>
            </w:r>
            <w:r w:rsidRPr="00BB4B6E">
              <w:rPr>
                <w:b w:val="0"/>
                <w:color w:val="auto"/>
                <w:sz w:val="24"/>
                <w:szCs w:val="24"/>
                <w:vertAlign w:val="superscript"/>
              </w:rPr>
              <w:t>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121.33±2.40</w:t>
            </w:r>
            <w:r w:rsidRPr="00BB4B6E">
              <w:rPr>
                <w:b w:val="0"/>
                <w:color w:val="auto"/>
                <w:sz w:val="24"/>
                <w:szCs w:val="24"/>
                <w:vertAlign w:val="superscript"/>
              </w:rPr>
              <w:t>b</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18.33±0.88</w:t>
            </w:r>
            <w:r w:rsidRPr="00BB4B6E">
              <w:rPr>
                <w:b w:val="0"/>
                <w:color w:val="auto"/>
                <w:sz w:val="24"/>
                <w:szCs w:val="24"/>
                <w:vertAlign w:val="superscript"/>
              </w:rPr>
              <w:t>b</w:t>
            </w: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NPK </w:t>
            </w:r>
          </w:p>
        </w:tc>
        <w:tc>
          <w:tcPr>
            <w:tcW w:w="156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44.67±1.86</w:t>
            </w:r>
            <w:r w:rsidRPr="00BB4B6E">
              <w:rPr>
                <w:b w:val="0"/>
                <w:color w:val="auto"/>
                <w:sz w:val="24"/>
                <w:szCs w:val="24"/>
                <w:vertAlign w:val="superscript"/>
              </w:rPr>
              <w:t>b</w:t>
            </w:r>
          </w:p>
        </w:tc>
        <w:tc>
          <w:tcPr>
            <w:tcW w:w="15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13.33±1.20</w:t>
            </w:r>
            <w:r w:rsidRPr="00BB4B6E">
              <w:rPr>
                <w:b w:val="0"/>
                <w:color w:val="auto"/>
                <w:sz w:val="24"/>
                <w:szCs w:val="24"/>
                <w:vertAlign w:val="superscript"/>
              </w:rPr>
              <w:t>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122.00±4.04</w:t>
            </w:r>
            <w:r w:rsidRPr="00BB4B6E">
              <w:rPr>
                <w:b w:val="0"/>
                <w:color w:val="auto"/>
                <w:sz w:val="24"/>
                <w:szCs w:val="24"/>
                <w:vertAlign w:val="superscript"/>
              </w:rPr>
              <w:t>b</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17.67±0.88</w:t>
            </w:r>
            <w:r w:rsidRPr="00BB4B6E">
              <w:rPr>
                <w:b w:val="0"/>
                <w:color w:val="auto"/>
                <w:sz w:val="24"/>
                <w:szCs w:val="24"/>
                <w:vertAlign w:val="superscript"/>
              </w:rPr>
              <w:t>b</w:t>
            </w:r>
          </w:p>
        </w:tc>
      </w:tr>
      <w:tr w:rsidR="00F934C1" w:rsidRPr="00BB4B6E" w:rsidTr="00F934C1">
        <w:trPr>
          <w:cantSplit/>
          <w:trHeight w:val="66"/>
        </w:trPr>
        <w:tc>
          <w:tcPr>
            <w:tcW w:w="243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DAP+NPK </w:t>
            </w:r>
          </w:p>
        </w:tc>
        <w:tc>
          <w:tcPr>
            <w:tcW w:w="156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46.67±1.45</w:t>
            </w:r>
            <w:r w:rsidRPr="00BB4B6E">
              <w:rPr>
                <w:b w:val="0"/>
                <w:color w:val="auto"/>
                <w:sz w:val="24"/>
                <w:szCs w:val="24"/>
                <w:vertAlign w:val="superscript"/>
              </w:rPr>
              <w:t>b</w:t>
            </w:r>
          </w:p>
        </w:tc>
        <w:tc>
          <w:tcPr>
            <w:tcW w:w="15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12.33±1.20</w:t>
            </w:r>
            <w:r w:rsidRPr="00BB4B6E">
              <w:rPr>
                <w:b w:val="0"/>
                <w:color w:val="auto"/>
                <w:sz w:val="24"/>
                <w:szCs w:val="24"/>
                <w:vertAlign w:val="superscript"/>
              </w:rPr>
              <w:t>a</w:t>
            </w:r>
          </w:p>
        </w:tc>
        <w:tc>
          <w:tcPr>
            <w:tcW w:w="18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120.33±2.19</w:t>
            </w:r>
            <w:r w:rsidRPr="00BB4B6E">
              <w:rPr>
                <w:b w:val="0"/>
                <w:color w:val="auto"/>
                <w:sz w:val="24"/>
                <w:szCs w:val="24"/>
                <w:vertAlign w:val="superscript"/>
              </w:rPr>
              <w:t>b</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18.00±1.15</w:t>
            </w:r>
            <w:r w:rsidRPr="00BB4B6E">
              <w:rPr>
                <w:b w:val="0"/>
                <w:color w:val="auto"/>
                <w:sz w:val="24"/>
                <w:szCs w:val="24"/>
                <w:vertAlign w:val="superscript"/>
              </w:rPr>
              <w:t>b</w:t>
            </w:r>
          </w:p>
        </w:tc>
      </w:tr>
      <w:tr w:rsidR="00F934C1" w:rsidRPr="00BB4B6E" w:rsidTr="00F934C1">
        <w:trPr>
          <w:cantSplit/>
          <w:trHeight w:val="66"/>
        </w:trPr>
        <w:tc>
          <w:tcPr>
            <w:tcW w:w="2430" w:type="dxa"/>
            <w:tcBorders>
              <w:top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Non-treated control</w:t>
            </w:r>
          </w:p>
        </w:tc>
        <w:tc>
          <w:tcPr>
            <w:tcW w:w="1560" w:type="dxa"/>
            <w:tcBorders>
              <w:top w:val="nil"/>
              <w:left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33.00±1.15</w:t>
            </w:r>
            <w:r w:rsidRPr="00BB4B6E">
              <w:rPr>
                <w:b w:val="0"/>
                <w:color w:val="auto"/>
                <w:sz w:val="24"/>
                <w:szCs w:val="24"/>
                <w:vertAlign w:val="superscript"/>
              </w:rPr>
              <w:t>a</w:t>
            </w:r>
          </w:p>
        </w:tc>
        <w:tc>
          <w:tcPr>
            <w:tcW w:w="1500" w:type="dxa"/>
            <w:tcBorders>
              <w:top w:val="nil"/>
              <w:left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11.00±0.58</w:t>
            </w:r>
            <w:r w:rsidRPr="00BB4B6E">
              <w:rPr>
                <w:b w:val="0"/>
                <w:color w:val="auto"/>
                <w:sz w:val="24"/>
                <w:szCs w:val="24"/>
                <w:vertAlign w:val="superscript"/>
              </w:rPr>
              <w:t>a</w:t>
            </w:r>
          </w:p>
        </w:tc>
        <w:tc>
          <w:tcPr>
            <w:tcW w:w="1800" w:type="dxa"/>
            <w:tcBorders>
              <w:top w:val="nil"/>
              <w:left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96.67±2.33</w:t>
            </w:r>
            <w:r w:rsidRPr="00BB4B6E">
              <w:rPr>
                <w:b w:val="0"/>
                <w:color w:val="auto"/>
                <w:sz w:val="24"/>
                <w:szCs w:val="24"/>
                <w:vertAlign w:val="superscript"/>
              </w:rPr>
              <w:t>a</w:t>
            </w:r>
          </w:p>
        </w:tc>
        <w:tc>
          <w:tcPr>
            <w:tcW w:w="135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12.67±0.88</w:t>
            </w:r>
            <w:r w:rsidRPr="00BB4B6E">
              <w:rPr>
                <w:b w:val="0"/>
                <w:color w:val="auto"/>
                <w:sz w:val="24"/>
                <w:szCs w:val="24"/>
                <w:vertAlign w:val="superscript"/>
              </w:rPr>
              <w:t>a</w:t>
            </w:r>
          </w:p>
        </w:tc>
      </w:tr>
      <w:tr w:rsidR="00F934C1" w:rsidRPr="00BB4B6E" w:rsidTr="00F934C1">
        <w:trPr>
          <w:trHeight w:val="265"/>
        </w:trPr>
        <w:tc>
          <w:tcPr>
            <w:tcW w:w="2430" w:type="dxa"/>
            <w:tcBorders>
              <w:top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560" w:type="dxa"/>
            <w:tcBorders>
              <w:top w:val="nil"/>
              <w:left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500" w:type="dxa"/>
            <w:tcBorders>
              <w:top w:val="nil"/>
              <w:left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800" w:type="dxa"/>
            <w:tcBorders>
              <w:top w:val="nil"/>
              <w:left w:val="nil"/>
              <w:bottom w:val="single" w:sz="4" w:space="0" w:color="auto"/>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 xml:space="preserve">P-value˂0.01 </w:t>
            </w:r>
          </w:p>
        </w:tc>
        <w:tc>
          <w:tcPr>
            <w:tcW w:w="1350" w:type="dxa"/>
            <w:tcBorders>
              <w:top w:val="nil"/>
              <w:left w:val="nil"/>
              <w:bottom w:val="single" w:sz="4" w:space="0" w:color="auto"/>
              <w:right w:val="nil"/>
            </w:tcBorders>
            <w:shd w:val="clear" w:color="auto" w:fill="FFFFFF"/>
            <w:vAlign w:val="bottom"/>
          </w:tcPr>
          <w:p w:rsidR="00F934C1" w:rsidRPr="00BB4B6E" w:rsidRDefault="00F934C1" w:rsidP="00F934C1">
            <w:pPr>
              <w:pStyle w:val="Caption"/>
              <w:rPr>
                <w:b w:val="0"/>
                <w:color w:val="auto"/>
                <w:sz w:val="24"/>
                <w:szCs w:val="24"/>
              </w:rPr>
            </w:pPr>
          </w:p>
        </w:tc>
      </w:tr>
    </w:tbl>
    <w:p w:rsidR="00F934C1" w:rsidRPr="00BB4B6E" w:rsidRDefault="00F934C1" w:rsidP="00F934C1">
      <w:pPr>
        <w:spacing w:line="240" w:lineRule="auto"/>
        <w:rPr>
          <w:lang w:val="sw-KE" w:eastAsia="sw-KE"/>
        </w:rPr>
      </w:pPr>
      <w:r w:rsidRPr="00BB4B6E">
        <w:rPr>
          <w:lang w:eastAsia="sw-KE"/>
        </w:rPr>
        <w:t>Means ± SD superscripted with similar small letters within the same column are not significantly different at p =0.05 (Anova).</w:t>
      </w:r>
    </w:p>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bookmarkStart w:id="234" w:name="_Toc112877979"/>
      <w:bookmarkStart w:id="235" w:name="_Toc112880610"/>
    </w:p>
    <w:p w:rsidR="00F934C1" w:rsidRPr="00BB4B6E" w:rsidRDefault="00F934C1" w:rsidP="00F934C1">
      <w:pPr>
        <w:autoSpaceDE/>
        <w:autoSpaceDN/>
        <w:adjustRightInd/>
        <w:spacing w:after="200" w:line="276" w:lineRule="auto"/>
        <w:jc w:val="left"/>
        <w:rPr>
          <w:b/>
          <w:bCs/>
        </w:rPr>
      </w:pPr>
      <w:r w:rsidRPr="00BB4B6E">
        <w:br w:type="page"/>
      </w:r>
    </w:p>
    <w:p w:rsidR="00F934C1" w:rsidRPr="00BB4B6E" w:rsidRDefault="00F934C1" w:rsidP="00F934C1">
      <w:pPr>
        <w:pStyle w:val="Heading4"/>
      </w:pPr>
      <w:bookmarkStart w:id="236" w:name="_Toc120047581"/>
      <w:bookmarkStart w:id="237" w:name="_Toc144222346"/>
      <w:bookmarkEnd w:id="234"/>
      <w:bookmarkEnd w:id="235"/>
      <w:r w:rsidRPr="00BB4B6E">
        <w:rPr>
          <w:color w:val="auto"/>
        </w:rPr>
        <w:lastRenderedPageBreak/>
        <w:t>Table 4.15: The</w:t>
      </w:r>
      <w:r w:rsidRPr="00BB4B6E">
        <w:t xml:space="preserve"> 90 day dry weight, leaf diameter, number of pods and number of leaves in beans grown using nano-fertilizers</w:t>
      </w:r>
      <w:bookmarkEnd w:id="236"/>
      <w:bookmarkEnd w:id="237"/>
    </w:p>
    <w:tbl>
      <w:tblPr>
        <w:tblW w:w="9922" w:type="dxa"/>
        <w:tblInd w:w="58" w:type="dxa"/>
        <w:tblCellMar>
          <w:left w:w="0" w:type="dxa"/>
          <w:right w:w="0" w:type="dxa"/>
        </w:tblCellMar>
        <w:tblLook w:val="04A0" w:firstRow="1" w:lastRow="0" w:firstColumn="1" w:lastColumn="0" w:noHBand="0" w:noVBand="1"/>
      </w:tblPr>
      <w:tblGrid>
        <w:gridCol w:w="2519"/>
        <w:gridCol w:w="1650"/>
        <w:gridCol w:w="1500"/>
        <w:gridCol w:w="1621"/>
        <w:gridCol w:w="1440"/>
        <w:gridCol w:w="1192"/>
      </w:tblGrid>
      <w:tr w:rsidR="00F934C1" w:rsidRPr="00BB4B6E" w:rsidTr="00F934C1">
        <w:trPr>
          <w:gridAfter w:val="1"/>
          <w:wAfter w:w="1192" w:type="dxa"/>
          <w:trHeight w:val="800"/>
        </w:trPr>
        <w:tc>
          <w:tcPr>
            <w:tcW w:w="2519"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bCs/>
                <w:color w:val="000000"/>
                <w:kern w:val="24"/>
              </w:rPr>
              <w:t>TREATMENT</w:t>
            </w:r>
          </w:p>
        </w:tc>
        <w:tc>
          <w:tcPr>
            <w:tcW w:w="4771"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rFonts w:eastAsia="Calibri"/>
                <w:b/>
                <w:bCs/>
                <w:color w:val="000000"/>
                <w:kern w:val="24"/>
              </w:rPr>
              <w:t>[Bean growth parameters]</w:t>
            </w:r>
          </w:p>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b/>
                <w:color w:val="000000"/>
              </w:rPr>
              <w:t>Mean± SD</w:t>
            </w:r>
          </w:p>
          <w:p w:rsidR="00F934C1" w:rsidRPr="00BB4B6E" w:rsidRDefault="00F934C1" w:rsidP="00F934C1">
            <w:pPr>
              <w:autoSpaceDE/>
              <w:autoSpaceDN/>
              <w:adjustRightInd/>
              <w:spacing w:line="276" w:lineRule="auto"/>
              <w:ind w:left="187"/>
              <w:jc w:val="center"/>
            </w:pPr>
            <w:r w:rsidRPr="00BB4B6E">
              <w:rPr>
                <w:b/>
                <w:color w:val="000000"/>
              </w:rPr>
              <w:t>n=9</w:t>
            </w:r>
          </w:p>
        </w:tc>
        <w:tc>
          <w:tcPr>
            <w:tcW w:w="1440" w:type="dxa"/>
            <w:tcBorders>
              <w:top w:val="single" w:sz="8" w:space="0" w:color="000000"/>
              <w:left w:val="nil"/>
              <w:bottom w:val="single" w:sz="8" w:space="0" w:color="000000"/>
              <w:right w:val="nil"/>
            </w:tcBorders>
          </w:tcPr>
          <w:p w:rsidR="00F934C1" w:rsidRPr="00BB4B6E" w:rsidRDefault="00F934C1" w:rsidP="00F934C1">
            <w:pPr>
              <w:autoSpaceDE/>
              <w:autoSpaceDN/>
              <w:adjustRightInd/>
              <w:spacing w:line="240" w:lineRule="auto"/>
              <w:jc w:val="left"/>
            </w:pPr>
          </w:p>
        </w:tc>
      </w:tr>
      <w:tr w:rsidR="00F934C1" w:rsidRPr="00BB4B6E" w:rsidTr="00F934C1">
        <w:trPr>
          <w:gridAfter w:val="1"/>
          <w:wAfter w:w="1192" w:type="dxa"/>
          <w:trHeight w:val="480"/>
        </w:trPr>
        <w:tc>
          <w:tcPr>
            <w:tcW w:w="2519"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pPr>
          </w:p>
        </w:tc>
        <w:tc>
          <w:tcPr>
            <w:tcW w:w="165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color w:val="000000"/>
                <w:kern w:val="24"/>
              </w:rPr>
              <w:t xml:space="preserve">No. Pods </w:t>
            </w:r>
          </w:p>
        </w:tc>
        <w:tc>
          <w:tcPr>
            <w:tcW w:w="150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color w:val="000000"/>
                <w:kern w:val="24"/>
              </w:rPr>
              <w:t>L. Diameter (mm)</w:t>
            </w:r>
          </w:p>
        </w:tc>
        <w:tc>
          <w:tcPr>
            <w:tcW w:w="1621"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pPr>
            <w:r w:rsidRPr="00BB4B6E">
              <w:rPr>
                <w:rFonts w:eastAsia="Calibri"/>
                <w:b/>
                <w:color w:val="000000"/>
                <w:kern w:val="24"/>
              </w:rPr>
              <w:t>Dry weight (g)</w:t>
            </w:r>
          </w:p>
        </w:tc>
        <w:tc>
          <w:tcPr>
            <w:tcW w:w="1440" w:type="dxa"/>
            <w:tcBorders>
              <w:top w:val="single" w:sz="8" w:space="0" w:color="000000"/>
              <w:left w:val="nil"/>
              <w:bottom w:val="single" w:sz="8" w:space="0" w:color="000000"/>
              <w:right w:val="nil"/>
            </w:tcBorders>
          </w:tcPr>
          <w:p w:rsidR="00F934C1" w:rsidRPr="00BB4B6E" w:rsidRDefault="00F934C1" w:rsidP="00F934C1">
            <w:pPr>
              <w:autoSpaceDE/>
              <w:autoSpaceDN/>
              <w:adjustRightInd/>
              <w:spacing w:line="276" w:lineRule="auto"/>
              <w:jc w:val="left"/>
              <w:rPr>
                <w:rFonts w:eastAsia="Calibri"/>
                <w:b/>
                <w:bCs/>
                <w:color w:val="000000"/>
                <w:kern w:val="24"/>
              </w:rPr>
            </w:pPr>
            <w:r w:rsidRPr="00BB4B6E">
              <w:rPr>
                <w:rFonts w:eastAsia="Calibri"/>
                <w:b/>
                <w:color w:val="000000"/>
                <w:kern w:val="24"/>
              </w:rPr>
              <w:t>No. leaves</w:t>
            </w:r>
          </w:p>
        </w:tc>
      </w:tr>
      <w:tr w:rsidR="00F934C1" w:rsidRPr="00BB4B6E" w:rsidTr="00F934C1">
        <w:trPr>
          <w:gridAfter w:val="1"/>
          <w:wAfter w:w="1192" w:type="dxa"/>
          <w:cantSplit/>
          <w:trHeight w:val="236"/>
        </w:trPr>
        <w:tc>
          <w:tcPr>
            <w:tcW w:w="2519"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Bone nHA </w:t>
            </w:r>
          </w:p>
        </w:tc>
        <w:tc>
          <w:tcPr>
            <w:tcW w:w="165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28.67±0.67</w:t>
            </w:r>
            <w:r w:rsidRPr="00BB4B6E">
              <w:rPr>
                <w:b w:val="0"/>
                <w:color w:val="auto"/>
                <w:sz w:val="24"/>
                <w:szCs w:val="24"/>
                <w:vertAlign w:val="superscript"/>
              </w:rPr>
              <w:t>cd</w:t>
            </w:r>
          </w:p>
        </w:tc>
        <w:tc>
          <w:tcPr>
            <w:tcW w:w="150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12.07±0.09</w:t>
            </w:r>
            <w:r w:rsidRPr="00BB4B6E">
              <w:rPr>
                <w:b w:val="0"/>
                <w:color w:val="auto"/>
                <w:sz w:val="24"/>
                <w:szCs w:val="24"/>
                <w:vertAlign w:val="superscript"/>
              </w:rPr>
              <w:t>c</w:t>
            </w:r>
          </w:p>
        </w:tc>
        <w:tc>
          <w:tcPr>
            <w:tcW w:w="1621"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92.00±1.15</w:t>
            </w:r>
            <w:r w:rsidRPr="00BB4B6E">
              <w:rPr>
                <w:b w:val="0"/>
                <w:color w:val="auto"/>
                <w:sz w:val="24"/>
                <w:szCs w:val="24"/>
                <w:vertAlign w:val="superscript"/>
              </w:rPr>
              <w:t>c</w:t>
            </w:r>
          </w:p>
        </w:tc>
        <w:tc>
          <w:tcPr>
            <w:tcW w:w="1440" w:type="dxa"/>
            <w:tcBorders>
              <w:top w:val="single" w:sz="8" w:space="0" w:color="000000"/>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86.33±1.45</w:t>
            </w:r>
            <w:r w:rsidRPr="00BB4B6E">
              <w:rPr>
                <w:b w:val="0"/>
                <w:color w:val="auto"/>
                <w:sz w:val="24"/>
                <w:szCs w:val="24"/>
                <w:vertAlign w:val="superscript"/>
              </w:rPr>
              <w:t>d</w:t>
            </w:r>
          </w:p>
        </w:tc>
      </w:tr>
      <w:tr w:rsidR="00F934C1" w:rsidRPr="00BB4B6E" w:rsidTr="00F934C1">
        <w:trPr>
          <w:gridAfter w:val="1"/>
          <w:wAfter w:w="1192" w:type="dxa"/>
          <w:cantSplit/>
          <w:trHeight w:val="66"/>
        </w:trPr>
        <w:tc>
          <w:tcPr>
            <w:tcW w:w="2519"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24.23±0.09</w:t>
            </w:r>
            <w:r w:rsidRPr="00BB4B6E">
              <w:rPr>
                <w:b w:val="0"/>
                <w:color w:val="auto"/>
                <w:sz w:val="24"/>
                <w:szCs w:val="24"/>
                <w:vertAlign w:val="superscript"/>
              </w:rPr>
              <w:t>c</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10.23±0.09</w:t>
            </w:r>
            <w:r w:rsidRPr="00BB4B6E">
              <w:rPr>
                <w:b w:val="0"/>
                <w:color w:val="auto"/>
                <w:sz w:val="24"/>
                <w:szCs w:val="24"/>
                <w:vertAlign w:val="superscript"/>
              </w:rPr>
              <w:t>c</w:t>
            </w:r>
          </w:p>
        </w:tc>
        <w:tc>
          <w:tcPr>
            <w:tcW w:w="1621"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85.33±2.73</w:t>
            </w:r>
            <w:r w:rsidRPr="00BB4B6E">
              <w:rPr>
                <w:b w:val="0"/>
                <w:color w:val="auto"/>
                <w:sz w:val="24"/>
                <w:szCs w:val="24"/>
                <w:vertAlign w:val="superscript"/>
              </w:rPr>
              <w:t>b</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79.67±1.45</w:t>
            </w:r>
            <w:r w:rsidRPr="00BB4B6E">
              <w:rPr>
                <w:b w:val="0"/>
                <w:color w:val="auto"/>
                <w:sz w:val="24"/>
                <w:szCs w:val="24"/>
                <w:vertAlign w:val="superscript"/>
              </w:rPr>
              <w:t>cd</w:t>
            </w:r>
          </w:p>
        </w:tc>
      </w:tr>
      <w:tr w:rsidR="00F934C1" w:rsidRPr="00BB4B6E" w:rsidTr="00F934C1">
        <w:trPr>
          <w:gridAfter w:val="1"/>
          <w:wAfter w:w="1192" w:type="dxa"/>
          <w:cantSplit/>
          <w:trHeight w:val="373"/>
        </w:trPr>
        <w:tc>
          <w:tcPr>
            <w:tcW w:w="2519"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 +DAP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29.00±1.53</w:t>
            </w:r>
            <w:r w:rsidRPr="00BB4B6E">
              <w:rPr>
                <w:b w:val="0"/>
                <w:color w:val="auto"/>
                <w:sz w:val="24"/>
                <w:szCs w:val="24"/>
                <w:vertAlign w:val="superscript"/>
              </w:rPr>
              <w:t>d</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12.13±0.12</w:t>
            </w:r>
            <w:r w:rsidRPr="00BB4B6E">
              <w:rPr>
                <w:b w:val="0"/>
                <w:color w:val="auto"/>
                <w:sz w:val="24"/>
                <w:szCs w:val="24"/>
                <w:vertAlign w:val="superscript"/>
              </w:rPr>
              <w:t>c</w:t>
            </w:r>
          </w:p>
        </w:tc>
        <w:tc>
          <w:tcPr>
            <w:tcW w:w="1621"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92.67±0.88</w:t>
            </w:r>
            <w:r w:rsidRPr="00BB4B6E">
              <w:rPr>
                <w:b w:val="0"/>
                <w:color w:val="auto"/>
                <w:sz w:val="24"/>
                <w:szCs w:val="24"/>
                <w:vertAlign w:val="superscript"/>
              </w:rPr>
              <w:t>c</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85.67±1.45</w:t>
            </w:r>
            <w:r w:rsidRPr="00BB4B6E">
              <w:rPr>
                <w:b w:val="0"/>
                <w:color w:val="auto"/>
                <w:sz w:val="24"/>
                <w:szCs w:val="24"/>
                <w:vertAlign w:val="superscript"/>
              </w:rPr>
              <w:t>d</w:t>
            </w:r>
          </w:p>
        </w:tc>
      </w:tr>
      <w:tr w:rsidR="00F934C1" w:rsidRPr="00BB4B6E" w:rsidTr="00F934C1">
        <w:trPr>
          <w:gridAfter w:val="1"/>
          <w:wAfter w:w="1192" w:type="dxa"/>
          <w:cantSplit/>
          <w:trHeight w:val="76"/>
        </w:trPr>
        <w:tc>
          <w:tcPr>
            <w:tcW w:w="2519"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+DAP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26.27±0.09</w:t>
            </w:r>
            <w:r w:rsidRPr="00BB4B6E">
              <w:rPr>
                <w:b w:val="0"/>
                <w:color w:val="auto"/>
                <w:sz w:val="24"/>
                <w:szCs w:val="24"/>
                <w:vertAlign w:val="superscript"/>
              </w:rPr>
              <w:t>c</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10.27±0.09</w:t>
            </w:r>
            <w:r w:rsidRPr="00BB4B6E">
              <w:rPr>
                <w:b w:val="0"/>
                <w:color w:val="auto"/>
                <w:sz w:val="24"/>
                <w:szCs w:val="24"/>
                <w:vertAlign w:val="superscript"/>
              </w:rPr>
              <w:t>c</w:t>
            </w:r>
          </w:p>
        </w:tc>
        <w:tc>
          <w:tcPr>
            <w:tcW w:w="1621"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81.33±0.33</w:t>
            </w:r>
            <w:r w:rsidRPr="00BB4B6E">
              <w:rPr>
                <w:b w:val="0"/>
                <w:color w:val="auto"/>
                <w:sz w:val="24"/>
                <w:szCs w:val="24"/>
                <w:vertAlign w:val="superscript"/>
              </w:rPr>
              <w:t>b</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76.33±3.84</w:t>
            </w:r>
            <w:r w:rsidRPr="00BB4B6E">
              <w:rPr>
                <w:b w:val="0"/>
                <w:color w:val="auto"/>
                <w:sz w:val="24"/>
                <w:szCs w:val="24"/>
                <w:vertAlign w:val="superscript"/>
              </w:rPr>
              <w:t>c</w:t>
            </w:r>
          </w:p>
        </w:tc>
      </w:tr>
      <w:tr w:rsidR="00F934C1" w:rsidRPr="00BB4B6E" w:rsidTr="00F934C1">
        <w:trPr>
          <w:gridAfter w:val="1"/>
          <w:wAfter w:w="1192" w:type="dxa"/>
          <w:cantSplit/>
          <w:trHeight w:val="148"/>
        </w:trPr>
        <w:tc>
          <w:tcPr>
            <w:tcW w:w="2519"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 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29.67±1.45</w:t>
            </w:r>
            <w:r w:rsidRPr="00BB4B6E">
              <w:rPr>
                <w:b w:val="0"/>
                <w:color w:val="auto"/>
                <w:sz w:val="24"/>
                <w:szCs w:val="24"/>
                <w:vertAlign w:val="superscript"/>
              </w:rPr>
              <w:t>cd</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12.3±0.12</w:t>
            </w:r>
            <w:r w:rsidRPr="00BB4B6E">
              <w:rPr>
                <w:b w:val="0"/>
                <w:color w:val="auto"/>
                <w:sz w:val="24"/>
                <w:szCs w:val="24"/>
                <w:vertAlign w:val="superscript"/>
              </w:rPr>
              <w:t>c</w:t>
            </w:r>
          </w:p>
        </w:tc>
        <w:tc>
          <w:tcPr>
            <w:tcW w:w="1621"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93.00±1.53</w:t>
            </w:r>
            <w:r w:rsidRPr="00BB4B6E">
              <w:rPr>
                <w:b w:val="0"/>
                <w:color w:val="auto"/>
                <w:sz w:val="24"/>
                <w:szCs w:val="24"/>
                <w:vertAlign w:val="superscript"/>
              </w:rPr>
              <w:t>d</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86.00±1.53</w:t>
            </w:r>
            <w:r w:rsidRPr="00BB4B6E">
              <w:rPr>
                <w:b w:val="0"/>
                <w:color w:val="auto"/>
                <w:sz w:val="24"/>
                <w:szCs w:val="24"/>
                <w:vertAlign w:val="superscript"/>
              </w:rPr>
              <w:t>d</w:t>
            </w:r>
          </w:p>
        </w:tc>
      </w:tr>
      <w:tr w:rsidR="00F934C1" w:rsidRPr="00BB4B6E" w:rsidTr="00F934C1">
        <w:trPr>
          <w:gridAfter w:val="1"/>
          <w:wAfter w:w="1192" w:type="dxa"/>
          <w:cantSplit/>
          <w:trHeight w:val="66"/>
        </w:trPr>
        <w:tc>
          <w:tcPr>
            <w:tcW w:w="2519"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26.03±0.07</w:t>
            </w:r>
            <w:r>
              <w:rPr>
                <w:b w:val="0"/>
                <w:color w:val="auto"/>
                <w:sz w:val="24"/>
                <w:szCs w:val="24"/>
                <w:vertAlign w:val="superscript"/>
              </w:rPr>
              <w:t>c</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10.03±0.07</w:t>
            </w:r>
            <w:r w:rsidRPr="00BB4B6E">
              <w:rPr>
                <w:b w:val="0"/>
                <w:color w:val="auto"/>
                <w:sz w:val="24"/>
                <w:szCs w:val="24"/>
                <w:vertAlign w:val="superscript"/>
              </w:rPr>
              <w:t>c</w:t>
            </w:r>
          </w:p>
        </w:tc>
        <w:tc>
          <w:tcPr>
            <w:tcW w:w="1621"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83.67±1.86</w:t>
            </w:r>
            <w:r w:rsidRPr="00BB4B6E">
              <w:rPr>
                <w:b w:val="0"/>
                <w:color w:val="auto"/>
                <w:sz w:val="24"/>
                <w:szCs w:val="24"/>
                <w:vertAlign w:val="superscript"/>
              </w:rPr>
              <w:t>b</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78.00±1.53</w:t>
            </w:r>
            <w:r w:rsidRPr="00BB4B6E">
              <w:rPr>
                <w:b w:val="0"/>
                <w:color w:val="auto"/>
                <w:sz w:val="24"/>
                <w:szCs w:val="24"/>
                <w:vertAlign w:val="superscript"/>
              </w:rPr>
              <w:t>c</w:t>
            </w:r>
          </w:p>
        </w:tc>
      </w:tr>
      <w:tr w:rsidR="00F934C1" w:rsidRPr="00BB4B6E" w:rsidTr="00F934C1">
        <w:trPr>
          <w:cantSplit/>
          <w:trHeight w:val="66"/>
        </w:trPr>
        <w:tc>
          <w:tcPr>
            <w:tcW w:w="2519"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nHA+DAP+NPK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31.00±0.58</w:t>
            </w:r>
            <w:r w:rsidRPr="00BB4B6E">
              <w:rPr>
                <w:b w:val="0"/>
                <w:color w:val="auto"/>
                <w:sz w:val="24"/>
                <w:szCs w:val="24"/>
                <w:vertAlign w:val="superscript"/>
              </w:rPr>
              <w:t>de</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12.37±0.09</w:t>
            </w:r>
            <w:r w:rsidRPr="00BB4B6E">
              <w:rPr>
                <w:b w:val="0"/>
                <w:color w:val="auto"/>
                <w:sz w:val="24"/>
                <w:szCs w:val="24"/>
                <w:vertAlign w:val="superscript"/>
              </w:rPr>
              <w:t>c</w:t>
            </w:r>
          </w:p>
        </w:tc>
        <w:tc>
          <w:tcPr>
            <w:tcW w:w="1621"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97.33±0.88</w:t>
            </w:r>
            <w:r w:rsidRPr="00BB4B6E">
              <w:rPr>
                <w:b w:val="0"/>
                <w:color w:val="auto"/>
                <w:sz w:val="24"/>
                <w:szCs w:val="24"/>
                <w:vertAlign w:val="superscript"/>
              </w:rPr>
              <w:t>e</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90.00±1.73</w:t>
            </w:r>
            <w:r w:rsidRPr="00BB4B6E">
              <w:rPr>
                <w:b w:val="0"/>
                <w:color w:val="auto"/>
                <w:sz w:val="24"/>
                <w:szCs w:val="24"/>
                <w:vertAlign w:val="superscript"/>
              </w:rPr>
              <w:t>e</w:t>
            </w:r>
          </w:p>
        </w:tc>
        <w:tc>
          <w:tcPr>
            <w:tcW w:w="1192" w:type="dxa"/>
          </w:tcPr>
          <w:p w:rsidR="00F934C1" w:rsidRPr="00BB4B6E" w:rsidRDefault="00F934C1" w:rsidP="00F934C1">
            <w:pPr>
              <w:pStyle w:val="NormalWeb"/>
              <w:spacing w:after="0"/>
              <w:rPr>
                <w:color w:val="auto"/>
              </w:rPr>
            </w:pPr>
          </w:p>
        </w:tc>
      </w:tr>
      <w:tr w:rsidR="00F934C1" w:rsidRPr="00BB4B6E" w:rsidTr="00F934C1">
        <w:trPr>
          <w:cantSplit/>
          <w:trHeight w:val="66"/>
        </w:trPr>
        <w:tc>
          <w:tcPr>
            <w:tcW w:w="2519"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nHA+DAP+NPK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27.47±0.09</w:t>
            </w:r>
            <w:r>
              <w:rPr>
                <w:b w:val="0"/>
                <w:color w:val="auto"/>
                <w:sz w:val="24"/>
                <w:szCs w:val="24"/>
                <w:vertAlign w:val="superscript"/>
              </w:rPr>
              <w:t>c</w:t>
            </w:r>
          </w:p>
        </w:tc>
        <w:tc>
          <w:tcPr>
            <w:tcW w:w="150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10.47±0.09</w:t>
            </w:r>
            <w:r w:rsidRPr="00BB4B6E">
              <w:rPr>
                <w:b w:val="0"/>
                <w:color w:val="auto"/>
                <w:sz w:val="24"/>
                <w:szCs w:val="24"/>
                <w:vertAlign w:val="superscript"/>
              </w:rPr>
              <w:t>c</w:t>
            </w:r>
          </w:p>
        </w:tc>
        <w:tc>
          <w:tcPr>
            <w:tcW w:w="1621"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pStyle w:val="Caption"/>
              <w:rPr>
                <w:b w:val="0"/>
                <w:color w:val="auto"/>
                <w:sz w:val="24"/>
                <w:szCs w:val="24"/>
              </w:rPr>
            </w:pPr>
            <w:r w:rsidRPr="00BB4B6E">
              <w:rPr>
                <w:b w:val="0"/>
                <w:color w:val="auto"/>
                <w:sz w:val="24"/>
                <w:szCs w:val="24"/>
              </w:rPr>
              <w:t>91.67±0.88</w:t>
            </w:r>
            <w:r w:rsidRPr="00BB4B6E">
              <w:rPr>
                <w:b w:val="0"/>
                <w:color w:val="auto"/>
                <w:sz w:val="24"/>
                <w:szCs w:val="24"/>
                <w:vertAlign w:val="superscript"/>
              </w:rPr>
              <w:t>c</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80.33±0.88</w:t>
            </w:r>
            <w:r w:rsidRPr="00BB4B6E">
              <w:rPr>
                <w:b w:val="0"/>
                <w:color w:val="auto"/>
                <w:sz w:val="24"/>
                <w:szCs w:val="24"/>
                <w:vertAlign w:val="superscript"/>
              </w:rPr>
              <w:t>d</w:t>
            </w:r>
          </w:p>
        </w:tc>
        <w:tc>
          <w:tcPr>
            <w:tcW w:w="1192" w:type="dxa"/>
          </w:tcPr>
          <w:p w:rsidR="00F934C1" w:rsidRPr="00BB4B6E" w:rsidRDefault="00F934C1" w:rsidP="00F934C1">
            <w:pPr>
              <w:pStyle w:val="NormalWeb"/>
              <w:spacing w:after="0"/>
              <w:rPr>
                <w:color w:val="auto"/>
              </w:rPr>
            </w:pPr>
          </w:p>
        </w:tc>
      </w:tr>
      <w:tr w:rsidR="00F934C1" w:rsidRPr="00BB4B6E" w:rsidTr="00F934C1">
        <w:trPr>
          <w:cantSplit/>
          <w:trHeight w:val="66"/>
        </w:trPr>
        <w:tc>
          <w:tcPr>
            <w:tcW w:w="2519"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DAP</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8.27±0.12</w:t>
            </w:r>
            <w:r w:rsidRPr="00BB4B6E">
              <w:rPr>
                <w:b w:val="0"/>
                <w:color w:val="auto"/>
                <w:sz w:val="24"/>
                <w:szCs w:val="24"/>
                <w:vertAlign w:val="superscript"/>
              </w:rPr>
              <w:t>b</w:t>
            </w:r>
          </w:p>
        </w:tc>
        <w:tc>
          <w:tcPr>
            <w:tcW w:w="15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8.27±0.12</w:t>
            </w:r>
            <w:r w:rsidRPr="00BB4B6E">
              <w:rPr>
                <w:b w:val="0"/>
                <w:color w:val="auto"/>
                <w:sz w:val="24"/>
                <w:szCs w:val="24"/>
                <w:vertAlign w:val="superscript"/>
              </w:rPr>
              <w:t>b</w:t>
            </w:r>
          </w:p>
        </w:tc>
        <w:tc>
          <w:tcPr>
            <w:tcW w:w="1621"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80.33±0.88</w:t>
            </w:r>
            <w:r w:rsidRPr="00BB4B6E">
              <w:rPr>
                <w:b w:val="0"/>
                <w:color w:val="auto"/>
                <w:sz w:val="24"/>
                <w:szCs w:val="24"/>
                <w:vertAlign w:val="superscript"/>
              </w:rPr>
              <w:t>b</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70.33±1.20</w:t>
            </w:r>
            <w:r w:rsidRPr="00BB4B6E">
              <w:rPr>
                <w:b w:val="0"/>
                <w:color w:val="auto"/>
                <w:sz w:val="24"/>
                <w:szCs w:val="24"/>
                <w:vertAlign w:val="superscript"/>
              </w:rPr>
              <w:t>b</w:t>
            </w:r>
          </w:p>
        </w:tc>
        <w:tc>
          <w:tcPr>
            <w:tcW w:w="1192" w:type="dxa"/>
          </w:tcPr>
          <w:p w:rsidR="00F934C1" w:rsidRPr="00BB4B6E" w:rsidRDefault="00F934C1" w:rsidP="00F934C1">
            <w:pPr>
              <w:pStyle w:val="NormalWeb"/>
              <w:spacing w:after="0"/>
              <w:rPr>
                <w:color w:val="auto"/>
              </w:rPr>
            </w:pPr>
          </w:p>
        </w:tc>
      </w:tr>
      <w:tr w:rsidR="00F934C1" w:rsidRPr="00BB4B6E" w:rsidTr="00F934C1">
        <w:trPr>
          <w:gridAfter w:val="1"/>
          <w:wAfter w:w="1192" w:type="dxa"/>
          <w:cantSplit/>
          <w:trHeight w:val="66"/>
        </w:trPr>
        <w:tc>
          <w:tcPr>
            <w:tcW w:w="2519"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8.53±0.07</w:t>
            </w:r>
            <w:r w:rsidRPr="00BB4B6E">
              <w:rPr>
                <w:b w:val="0"/>
                <w:color w:val="auto"/>
                <w:sz w:val="24"/>
                <w:szCs w:val="24"/>
                <w:vertAlign w:val="superscript"/>
              </w:rPr>
              <w:t>b</w:t>
            </w:r>
          </w:p>
        </w:tc>
        <w:tc>
          <w:tcPr>
            <w:tcW w:w="15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8.53±0.07</w:t>
            </w:r>
            <w:r w:rsidRPr="00BB4B6E">
              <w:rPr>
                <w:b w:val="0"/>
                <w:color w:val="auto"/>
                <w:sz w:val="24"/>
                <w:szCs w:val="24"/>
                <w:vertAlign w:val="superscript"/>
              </w:rPr>
              <w:t>b</w:t>
            </w:r>
          </w:p>
        </w:tc>
        <w:tc>
          <w:tcPr>
            <w:tcW w:w="1621"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79.33±2.03</w:t>
            </w:r>
            <w:r w:rsidRPr="00BB4B6E">
              <w:rPr>
                <w:b w:val="0"/>
                <w:color w:val="auto"/>
                <w:sz w:val="24"/>
                <w:szCs w:val="24"/>
                <w:vertAlign w:val="superscript"/>
              </w:rPr>
              <w:t>b</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67.67±0.88</w:t>
            </w:r>
            <w:r w:rsidRPr="00BB4B6E">
              <w:rPr>
                <w:b w:val="0"/>
                <w:color w:val="auto"/>
                <w:sz w:val="24"/>
                <w:szCs w:val="24"/>
                <w:vertAlign w:val="superscript"/>
              </w:rPr>
              <w:t>b</w:t>
            </w:r>
          </w:p>
        </w:tc>
      </w:tr>
      <w:tr w:rsidR="00F934C1" w:rsidRPr="00BB4B6E" w:rsidTr="00F934C1">
        <w:trPr>
          <w:gridAfter w:val="1"/>
          <w:wAfter w:w="1192" w:type="dxa"/>
          <w:cantSplit/>
          <w:trHeight w:val="66"/>
        </w:trPr>
        <w:tc>
          <w:tcPr>
            <w:tcW w:w="2519"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DAP+NPK </w:t>
            </w:r>
          </w:p>
        </w:tc>
        <w:tc>
          <w:tcPr>
            <w:tcW w:w="165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8.07±0.09</w:t>
            </w:r>
            <w:r w:rsidRPr="00BB4B6E">
              <w:rPr>
                <w:b w:val="0"/>
                <w:color w:val="auto"/>
                <w:sz w:val="24"/>
                <w:szCs w:val="24"/>
                <w:vertAlign w:val="superscript"/>
              </w:rPr>
              <w:t>b</w:t>
            </w:r>
          </w:p>
        </w:tc>
        <w:tc>
          <w:tcPr>
            <w:tcW w:w="150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8.07±0.09</w:t>
            </w:r>
            <w:r w:rsidRPr="00BB4B6E">
              <w:rPr>
                <w:b w:val="0"/>
                <w:color w:val="auto"/>
                <w:sz w:val="24"/>
                <w:szCs w:val="24"/>
                <w:vertAlign w:val="superscript"/>
              </w:rPr>
              <w:t>b</w:t>
            </w:r>
          </w:p>
        </w:tc>
        <w:tc>
          <w:tcPr>
            <w:tcW w:w="1621"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77.00±1.53</w:t>
            </w:r>
            <w:r w:rsidRPr="00BB4B6E">
              <w:rPr>
                <w:b w:val="0"/>
                <w:color w:val="auto"/>
                <w:sz w:val="24"/>
                <w:szCs w:val="24"/>
                <w:vertAlign w:val="superscript"/>
              </w:rPr>
              <w:t>b</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68.00±1.53</w:t>
            </w:r>
            <w:r w:rsidRPr="00BB4B6E">
              <w:rPr>
                <w:b w:val="0"/>
                <w:color w:val="auto"/>
                <w:sz w:val="24"/>
                <w:szCs w:val="24"/>
                <w:vertAlign w:val="superscript"/>
              </w:rPr>
              <w:t>b</w:t>
            </w:r>
          </w:p>
        </w:tc>
      </w:tr>
      <w:tr w:rsidR="00F934C1" w:rsidRPr="00BB4B6E" w:rsidTr="00F934C1">
        <w:trPr>
          <w:gridAfter w:val="1"/>
          <w:wAfter w:w="1192" w:type="dxa"/>
          <w:cantSplit/>
          <w:trHeight w:val="66"/>
        </w:trPr>
        <w:tc>
          <w:tcPr>
            <w:tcW w:w="2519" w:type="dxa"/>
            <w:tcBorders>
              <w:top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Non-treated control</w:t>
            </w:r>
          </w:p>
        </w:tc>
        <w:tc>
          <w:tcPr>
            <w:tcW w:w="1650" w:type="dxa"/>
            <w:tcBorders>
              <w:top w:val="nil"/>
              <w:left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2.3±0.06</w:t>
            </w:r>
            <w:r w:rsidRPr="00BB4B6E">
              <w:rPr>
                <w:b w:val="0"/>
                <w:color w:val="auto"/>
                <w:sz w:val="24"/>
                <w:szCs w:val="24"/>
                <w:vertAlign w:val="superscript"/>
              </w:rPr>
              <w:t>a</w:t>
            </w:r>
          </w:p>
        </w:tc>
        <w:tc>
          <w:tcPr>
            <w:tcW w:w="1500" w:type="dxa"/>
            <w:tcBorders>
              <w:top w:val="nil"/>
              <w:left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4.3±0.06</w:t>
            </w:r>
            <w:r w:rsidRPr="00BB4B6E">
              <w:rPr>
                <w:b w:val="0"/>
                <w:color w:val="auto"/>
                <w:sz w:val="24"/>
                <w:szCs w:val="24"/>
                <w:vertAlign w:val="superscript"/>
              </w:rPr>
              <w:t>a</w:t>
            </w:r>
          </w:p>
        </w:tc>
        <w:tc>
          <w:tcPr>
            <w:tcW w:w="1621" w:type="dxa"/>
            <w:tcBorders>
              <w:top w:val="nil"/>
              <w:left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pStyle w:val="Caption"/>
              <w:rPr>
                <w:b w:val="0"/>
                <w:color w:val="auto"/>
                <w:sz w:val="24"/>
                <w:szCs w:val="24"/>
              </w:rPr>
            </w:pPr>
            <w:r w:rsidRPr="00BB4B6E">
              <w:rPr>
                <w:b w:val="0"/>
                <w:color w:val="auto"/>
                <w:sz w:val="24"/>
                <w:szCs w:val="24"/>
              </w:rPr>
              <w:t>38.33±2.33</w:t>
            </w:r>
            <w:r w:rsidRPr="00BB4B6E">
              <w:rPr>
                <w:b w:val="0"/>
                <w:color w:val="auto"/>
                <w:sz w:val="24"/>
                <w:szCs w:val="24"/>
                <w:vertAlign w:val="superscript"/>
              </w:rPr>
              <w:t>a</w:t>
            </w:r>
          </w:p>
        </w:tc>
        <w:tc>
          <w:tcPr>
            <w:tcW w:w="1440" w:type="dxa"/>
            <w:tcBorders>
              <w:left w:val="nil"/>
              <w:right w:val="nil"/>
            </w:tcBorders>
            <w:shd w:val="clear" w:color="auto" w:fill="FFFFFF"/>
            <w:vAlign w:val="bottom"/>
          </w:tcPr>
          <w:p w:rsidR="00F934C1" w:rsidRPr="00BB4B6E" w:rsidRDefault="00F934C1" w:rsidP="00F934C1">
            <w:pPr>
              <w:pStyle w:val="Caption"/>
              <w:rPr>
                <w:b w:val="0"/>
                <w:color w:val="auto"/>
                <w:sz w:val="24"/>
                <w:szCs w:val="24"/>
              </w:rPr>
            </w:pPr>
            <w:r w:rsidRPr="00BB4B6E">
              <w:rPr>
                <w:b w:val="0"/>
                <w:color w:val="auto"/>
                <w:sz w:val="24"/>
                <w:szCs w:val="24"/>
              </w:rPr>
              <w:t>20.33±1.45</w:t>
            </w:r>
            <w:r w:rsidRPr="00BB4B6E">
              <w:rPr>
                <w:b w:val="0"/>
                <w:color w:val="auto"/>
                <w:sz w:val="24"/>
                <w:szCs w:val="24"/>
                <w:vertAlign w:val="superscript"/>
              </w:rPr>
              <w:t>a</w:t>
            </w:r>
          </w:p>
        </w:tc>
      </w:tr>
      <w:tr w:rsidR="00F934C1" w:rsidRPr="00BB4B6E" w:rsidTr="00F934C1">
        <w:trPr>
          <w:gridAfter w:val="1"/>
          <w:wAfter w:w="1192" w:type="dxa"/>
          <w:trHeight w:val="265"/>
        </w:trPr>
        <w:tc>
          <w:tcPr>
            <w:tcW w:w="2519" w:type="dxa"/>
            <w:tcBorders>
              <w:top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650" w:type="dxa"/>
            <w:tcBorders>
              <w:top w:val="nil"/>
              <w:left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500" w:type="dxa"/>
            <w:tcBorders>
              <w:top w:val="nil"/>
              <w:left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621" w:type="dxa"/>
            <w:tcBorders>
              <w:top w:val="nil"/>
              <w:left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P-value˂0.01 </w:t>
            </w:r>
          </w:p>
        </w:tc>
        <w:tc>
          <w:tcPr>
            <w:tcW w:w="1440" w:type="dxa"/>
            <w:tcBorders>
              <w:top w:val="nil"/>
              <w:left w:val="nil"/>
              <w:bottom w:val="single" w:sz="4" w:space="0" w:color="auto"/>
              <w:right w:val="nil"/>
            </w:tcBorders>
            <w:shd w:val="clear" w:color="auto" w:fill="FFFFFF"/>
          </w:tcPr>
          <w:p w:rsidR="00F934C1" w:rsidRPr="00BB4B6E" w:rsidRDefault="00F934C1" w:rsidP="00F934C1">
            <w:pPr>
              <w:pStyle w:val="Caption"/>
              <w:rPr>
                <w:b w:val="0"/>
                <w:color w:val="auto"/>
                <w:sz w:val="24"/>
                <w:szCs w:val="24"/>
              </w:rPr>
            </w:pPr>
          </w:p>
        </w:tc>
      </w:tr>
    </w:tbl>
    <w:p w:rsidR="00F934C1" w:rsidRPr="00BB4B6E" w:rsidRDefault="00F934C1" w:rsidP="00F934C1">
      <w:pPr>
        <w:spacing w:line="240" w:lineRule="auto"/>
        <w:rPr>
          <w:lang w:val="sw-KE" w:eastAsia="sw-KE"/>
        </w:rPr>
      </w:pPr>
      <w:r w:rsidRPr="00BB4B6E">
        <w:rPr>
          <w:lang w:eastAsia="sw-KE"/>
        </w:rPr>
        <w:t>Means ± SD superscripted with similar small letters within the same column not significantly different at p =0.05 (Anova).</w:t>
      </w:r>
    </w:p>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Pr>
        <w:autoSpaceDE/>
        <w:autoSpaceDN/>
        <w:adjustRightInd/>
        <w:spacing w:after="200" w:line="276" w:lineRule="auto"/>
        <w:jc w:val="left"/>
        <w:rPr>
          <w:b/>
          <w:bCs/>
        </w:rPr>
      </w:pPr>
      <w:bookmarkStart w:id="238" w:name="_Toc112877980"/>
      <w:bookmarkStart w:id="239" w:name="_Toc112880611"/>
      <w:r w:rsidRPr="00BB4B6E">
        <w:br w:type="page"/>
      </w:r>
    </w:p>
    <w:p w:rsidR="00F934C1" w:rsidRPr="00BB4B6E" w:rsidRDefault="00F934C1" w:rsidP="00F934C1">
      <w:pPr>
        <w:pStyle w:val="Heading4"/>
      </w:pPr>
      <w:bookmarkStart w:id="240" w:name="_Toc120047582"/>
      <w:bookmarkStart w:id="241" w:name="_Toc144222347"/>
      <w:bookmarkEnd w:id="238"/>
      <w:bookmarkEnd w:id="239"/>
      <w:r w:rsidRPr="00BB4B6E">
        <w:rPr>
          <w:color w:val="auto"/>
        </w:rPr>
        <w:lastRenderedPageBreak/>
        <w:t>Table 4.16: The</w:t>
      </w:r>
      <w:r w:rsidRPr="00BB4B6E">
        <w:t xml:space="preserve"> 90 day dry weight, leaf diameter and number of leaves in spinach grown using nano-fertilizers</w:t>
      </w:r>
      <w:bookmarkEnd w:id="240"/>
      <w:bookmarkEnd w:id="241"/>
    </w:p>
    <w:tbl>
      <w:tblPr>
        <w:tblW w:w="8730" w:type="dxa"/>
        <w:tblInd w:w="58" w:type="dxa"/>
        <w:tblCellMar>
          <w:left w:w="0" w:type="dxa"/>
          <w:right w:w="0" w:type="dxa"/>
        </w:tblCellMar>
        <w:tblLook w:val="04A0" w:firstRow="1" w:lastRow="0" w:firstColumn="1" w:lastColumn="0" w:noHBand="0" w:noVBand="1"/>
      </w:tblPr>
      <w:tblGrid>
        <w:gridCol w:w="2520"/>
        <w:gridCol w:w="1620"/>
        <w:gridCol w:w="1440"/>
        <w:gridCol w:w="1710"/>
        <w:gridCol w:w="1440"/>
      </w:tblGrid>
      <w:tr w:rsidR="00F934C1" w:rsidRPr="00BB4B6E" w:rsidTr="00F934C1">
        <w:trPr>
          <w:trHeight w:val="800"/>
        </w:trPr>
        <w:tc>
          <w:tcPr>
            <w:tcW w:w="252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rPr>
                <w:sz w:val="36"/>
                <w:szCs w:val="36"/>
              </w:rPr>
            </w:pPr>
            <w:r w:rsidRPr="00BB4B6E">
              <w:rPr>
                <w:rFonts w:eastAsia="Calibri"/>
                <w:b/>
                <w:bCs/>
                <w:color w:val="000000"/>
                <w:kern w:val="24"/>
              </w:rPr>
              <w:t>TREATMENT</w:t>
            </w:r>
          </w:p>
        </w:tc>
        <w:tc>
          <w:tcPr>
            <w:tcW w:w="4770" w:type="dxa"/>
            <w:gridSpan w:val="3"/>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rFonts w:eastAsia="Calibri"/>
                <w:b/>
                <w:bCs/>
                <w:color w:val="000000"/>
                <w:kern w:val="24"/>
              </w:rPr>
              <w:t>[Spinach growth parameters]</w:t>
            </w:r>
          </w:p>
          <w:p w:rsidR="00F934C1" w:rsidRPr="00BB4B6E" w:rsidRDefault="00F934C1" w:rsidP="00F934C1">
            <w:pPr>
              <w:autoSpaceDE/>
              <w:autoSpaceDN/>
              <w:adjustRightInd/>
              <w:spacing w:line="276" w:lineRule="auto"/>
              <w:ind w:left="187"/>
              <w:jc w:val="center"/>
              <w:rPr>
                <w:rFonts w:eastAsia="Calibri"/>
                <w:b/>
                <w:bCs/>
                <w:color w:val="000000"/>
                <w:kern w:val="24"/>
              </w:rPr>
            </w:pPr>
            <w:r w:rsidRPr="00BB4B6E">
              <w:rPr>
                <w:b/>
                <w:color w:val="000000"/>
              </w:rPr>
              <w:t>Mean± SD</w:t>
            </w:r>
          </w:p>
          <w:p w:rsidR="00F934C1" w:rsidRPr="00BB4B6E" w:rsidRDefault="00F934C1" w:rsidP="00F934C1">
            <w:pPr>
              <w:autoSpaceDE/>
              <w:autoSpaceDN/>
              <w:adjustRightInd/>
              <w:spacing w:line="276" w:lineRule="auto"/>
              <w:ind w:left="187"/>
              <w:jc w:val="center"/>
              <w:rPr>
                <w:sz w:val="36"/>
                <w:szCs w:val="36"/>
              </w:rPr>
            </w:pPr>
            <w:r w:rsidRPr="00BB4B6E">
              <w:rPr>
                <w:b/>
                <w:color w:val="000000"/>
              </w:rPr>
              <w:t>n=9</w:t>
            </w:r>
          </w:p>
        </w:tc>
        <w:tc>
          <w:tcPr>
            <w:tcW w:w="1440" w:type="dxa"/>
            <w:tcBorders>
              <w:top w:val="single" w:sz="8" w:space="0" w:color="000000"/>
              <w:left w:val="nil"/>
              <w:bottom w:val="single" w:sz="8" w:space="0" w:color="000000"/>
              <w:right w:val="nil"/>
            </w:tcBorders>
          </w:tcPr>
          <w:p w:rsidR="00F934C1" w:rsidRPr="00BB4B6E" w:rsidRDefault="00F934C1" w:rsidP="00F934C1">
            <w:pPr>
              <w:autoSpaceDE/>
              <w:autoSpaceDN/>
              <w:adjustRightInd/>
              <w:spacing w:line="240" w:lineRule="auto"/>
              <w:jc w:val="left"/>
              <w:rPr>
                <w:sz w:val="36"/>
                <w:szCs w:val="36"/>
              </w:rPr>
            </w:pPr>
          </w:p>
        </w:tc>
      </w:tr>
      <w:tr w:rsidR="00F934C1" w:rsidRPr="00BB4B6E" w:rsidTr="00F934C1">
        <w:trPr>
          <w:trHeight w:val="480"/>
        </w:trPr>
        <w:tc>
          <w:tcPr>
            <w:tcW w:w="2520" w:type="dxa"/>
            <w:tcBorders>
              <w:top w:val="single" w:sz="8" w:space="0" w:color="000000"/>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40" w:lineRule="auto"/>
              <w:jc w:val="left"/>
              <w:rPr>
                <w:sz w:val="36"/>
                <w:szCs w:val="36"/>
              </w:rPr>
            </w:pPr>
          </w:p>
        </w:tc>
        <w:tc>
          <w:tcPr>
            <w:tcW w:w="162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rPr>
                <w:b/>
                <w:sz w:val="36"/>
                <w:szCs w:val="36"/>
              </w:rPr>
            </w:pPr>
            <w:r w:rsidRPr="00BB4B6E">
              <w:rPr>
                <w:rFonts w:eastAsia="Calibri"/>
                <w:b/>
                <w:color w:val="000000"/>
                <w:kern w:val="24"/>
              </w:rPr>
              <w:t xml:space="preserve"> Height (cm)</w:t>
            </w:r>
          </w:p>
        </w:tc>
        <w:tc>
          <w:tcPr>
            <w:tcW w:w="144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rPr>
                <w:b/>
                <w:sz w:val="36"/>
                <w:szCs w:val="36"/>
              </w:rPr>
            </w:pPr>
            <w:r w:rsidRPr="00BB4B6E">
              <w:rPr>
                <w:rFonts w:eastAsia="Calibri"/>
                <w:b/>
                <w:color w:val="000000"/>
                <w:kern w:val="24"/>
              </w:rPr>
              <w:t>L. Diameter (mm)</w:t>
            </w:r>
          </w:p>
        </w:tc>
        <w:tc>
          <w:tcPr>
            <w:tcW w:w="1710" w:type="dxa"/>
            <w:tcBorders>
              <w:top w:val="single" w:sz="8" w:space="0" w:color="000000"/>
              <w:left w:val="nil"/>
              <w:bottom w:val="single" w:sz="8" w:space="0" w:color="000000"/>
              <w:right w:val="nil"/>
            </w:tcBorders>
            <w:shd w:val="clear" w:color="auto" w:fill="auto"/>
            <w:tcMar>
              <w:top w:w="14" w:type="dxa"/>
              <w:left w:w="58" w:type="dxa"/>
              <w:bottom w:w="0" w:type="dxa"/>
              <w:right w:w="58" w:type="dxa"/>
            </w:tcMar>
            <w:hideMark/>
          </w:tcPr>
          <w:p w:rsidR="00F934C1" w:rsidRPr="00BB4B6E" w:rsidRDefault="00F934C1" w:rsidP="00F934C1">
            <w:pPr>
              <w:autoSpaceDE/>
              <w:autoSpaceDN/>
              <w:adjustRightInd/>
              <w:spacing w:line="276" w:lineRule="auto"/>
              <w:jc w:val="left"/>
              <w:rPr>
                <w:b/>
                <w:sz w:val="36"/>
                <w:szCs w:val="36"/>
              </w:rPr>
            </w:pPr>
            <w:r w:rsidRPr="00BB4B6E">
              <w:rPr>
                <w:rFonts w:eastAsia="Calibri"/>
                <w:b/>
                <w:color w:val="000000"/>
                <w:kern w:val="24"/>
              </w:rPr>
              <w:t xml:space="preserve"> Dry weight (g)</w:t>
            </w:r>
          </w:p>
        </w:tc>
        <w:tc>
          <w:tcPr>
            <w:tcW w:w="1440" w:type="dxa"/>
            <w:tcBorders>
              <w:top w:val="single" w:sz="8" w:space="0" w:color="000000"/>
              <w:left w:val="nil"/>
              <w:bottom w:val="single" w:sz="8" w:space="0" w:color="000000"/>
              <w:right w:val="nil"/>
            </w:tcBorders>
          </w:tcPr>
          <w:p w:rsidR="00F934C1" w:rsidRPr="00BB4B6E" w:rsidRDefault="00F934C1" w:rsidP="00F934C1">
            <w:pPr>
              <w:autoSpaceDE/>
              <w:autoSpaceDN/>
              <w:adjustRightInd/>
              <w:spacing w:line="276" w:lineRule="auto"/>
              <w:jc w:val="left"/>
              <w:rPr>
                <w:rFonts w:eastAsia="Calibri"/>
                <w:b/>
                <w:bCs/>
                <w:color w:val="000000"/>
                <w:kern w:val="24"/>
              </w:rPr>
            </w:pPr>
            <w:r w:rsidRPr="00BB4B6E">
              <w:rPr>
                <w:rFonts w:eastAsia="Calibri"/>
                <w:b/>
                <w:color w:val="000000"/>
                <w:kern w:val="24"/>
              </w:rPr>
              <w:t>No. leaves</w:t>
            </w:r>
          </w:p>
        </w:tc>
      </w:tr>
      <w:tr w:rsidR="00F934C1" w:rsidRPr="00BB4B6E" w:rsidTr="00F934C1">
        <w:trPr>
          <w:cantSplit/>
          <w:trHeight w:val="236"/>
        </w:trPr>
        <w:tc>
          <w:tcPr>
            <w:tcW w:w="2520" w:type="dxa"/>
            <w:tcBorders>
              <w:top w:val="single" w:sz="8" w:space="0" w:color="000000"/>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Bone nHA </w:t>
            </w:r>
          </w:p>
        </w:tc>
        <w:tc>
          <w:tcPr>
            <w:tcW w:w="162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44.67±1.76</w:t>
            </w:r>
            <w:r w:rsidRPr="00BB4B6E">
              <w:rPr>
                <w:color w:val="000000" w:themeColor="text1"/>
                <w:vertAlign w:val="superscript"/>
              </w:rPr>
              <w:t>d</w:t>
            </w:r>
          </w:p>
        </w:tc>
        <w:tc>
          <w:tcPr>
            <w:tcW w:w="144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14.70±0.1</w:t>
            </w:r>
            <w:r>
              <w:rPr>
                <w:color w:val="000000" w:themeColor="text1"/>
                <w:vertAlign w:val="superscript"/>
              </w:rPr>
              <w:t>c</w:t>
            </w:r>
          </w:p>
        </w:tc>
        <w:tc>
          <w:tcPr>
            <w:tcW w:w="1710" w:type="dxa"/>
            <w:tcBorders>
              <w:top w:val="single" w:sz="8" w:space="0" w:color="000000"/>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76.67±2.33</w:t>
            </w:r>
            <w:r w:rsidRPr="00BB4B6E">
              <w:rPr>
                <w:color w:val="000000" w:themeColor="text1"/>
                <w:vertAlign w:val="superscript"/>
              </w:rPr>
              <w:t>d</w:t>
            </w:r>
          </w:p>
        </w:tc>
        <w:tc>
          <w:tcPr>
            <w:tcW w:w="1440" w:type="dxa"/>
            <w:tcBorders>
              <w:top w:val="single" w:sz="8" w:space="0" w:color="000000"/>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16.00±0.58</w:t>
            </w:r>
            <w:r w:rsidRPr="00BB4B6E">
              <w:rPr>
                <w:color w:val="000000" w:themeColor="text1"/>
                <w:vertAlign w:val="superscript"/>
              </w:rPr>
              <w:t>C</w:t>
            </w:r>
          </w:p>
        </w:tc>
      </w:tr>
      <w:tr w:rsidR="00F934C1" w:rsidRPr="00BB4B6E" w:rsidTr="00F934C1">
        <w:trPr>
          <w:cantSplit/>
          <w:trHeight w:val="66"/>
        </w:trPr>
        <w:tc>
          <w:tcPr>
            <w:tcW w:w="252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40.00±0.58</w:t>
            </w:r>
            <w:r w:rsidRPr="00BB4B6E">
              <w:rPr>
                <w:color w:val="000000" w:themeColor="text1"/>
                <w:vertAlign w:val="superscript"/>
              </w:rPr>
              <w:t>d</w:t>
            </w:r>
          </w:p>
        </w:tc>
        <w:tc>
          <w:tcPr>
            <w:tcW w:w="144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10.63±0.30</w:t>
            </w:r>
            <w:r w:rsidRPr="00BB4B6E">
              <w:rPr>
                <w:color w:val="000000" w:themeColor="text1"/>
                <w:vertAlign w:val="superscript"/>
              </w:rPr>
              <w:t>b</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70.00±1.53</w:t>
            </w:r>
            <w:r w:rsidRPr="00BB4B6E">
              <w:rPr>
                <w:color w:val="000000" w:themeColor="text1"/>
                <w:vertAlign w:val="superscript"/>
              </w:rPr>
              <w:t>c</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14.33±0.67</w:t>
            </w:r>
            <w:r>
              <w:rPr>
                <w:color w:val="000000" w:themeColor="text1"/>
                <w:vertAlign w:val="superscript"/>
              </w:rPr>
              <w:t>c</w:t>
            </w:r>
          </w:p>
        </w:tc>
      </w:tr>
      <w:tr w:rsidR="00F934C1" w:rsidRPr="00BB4B6E" w:rsidTr="00F934C1">
        <w:trPr>
          <w:cantSplit/>
          <w:trHeight w:val="373"/>
        </w:trPr>
        <w:tc>
          <w:tcPr>
            <w:tcW w:w="252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 +DAP </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43.33±1.45</w:t>
            </w:r>
            <w:r w:rsidRPr="00BB4B6E">
              <w:rPr>
                <w:color w:val="000000" w:themeColor="text1"/>
                <w:vertAlign w:val="superscript"/>
              </w:rPr>
              <w:t>d</w:t>
            </w:r>
          </w:p>
        </w:tc>
        <w:tc>
          <w:tcPr>
            <w:tcW w:w="144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14.37±0.24</w:t>
            </w:r>
            <w:r>
              <w:rPr>
                <w:color w:val="000000" w:themeColor="text1"/>
                <w:vertAlign w:val="superscript"/>
              </w:rPr>
              <w:t>c</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77.67±1.20</w:t>
            </w:r>
            <w:r w:rsidRPr="00BB4B6E">
              <w:rPr>
                <w:color w:val="000000" w:themeColor="text1"/>
                <w:vertAlign w:val="superscript"/>
              </w:rPr>
              <w:t>d</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17.67±0.88</w:t>
            </w:r>
            <w:r>
              <w:rPr>
                <w:color w:val="000000" w:themeColor="text1"/>
                <w:vertAlign w:val="superscript"/>
              </w:rPr>
              <w:t>c</w:t>
            </w:r>
            <w:r w:rsidRPr="00BB4B6E">
              <w:rPr>
                <w:color w:val="000000" w:themeColor="text1"/>
                <w:vertAlign w:val="superscript"/>
              </w:rPr>
              <w:t>d</w:t>
            </w:r>
          </w:p>
        </w:tc>
      </w:tr>
      <w:tr w:rsidR="00F934C1" w:rsidRPr="00BB4B6E" w:rsidTr="00F934C1">
        <w:trPr>
          <w:cantSplit/>
          <w:trHeight w:val="76"/>
        </w:trPr>
        <w:tc>
          <w:tcPr>
            <w:tcW w:w="252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+DAP </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40.67±1.76</w:t>
            </w:r>
            <w:r w:rsidRPr="00BB4B6E">
              <w:rPr>
                <w:color w:val="000000" w:themeColor="text1"/>
                <w:vertAlign w:val="superscript"/>
              </w:rPr>
              <w:t>d</w:t>
            </w:r>
          </w:p>
        </w:tc>
        <w:tc>
          <w:tcPr>
            <w:tcW w:w="144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14.2±0.23</w:t>
            </w:r>
            <w:r>
              <w:rPr>
                <w:color w:val="000000" w:themeColor="text1"/>
                <w:vertAlign w:val="superscript"/>
              </w:rPr>
              <w:t>c</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71.33±1.76</w:t>
            </w:r>
            <w:r>
              <w:rPr>
                <w:color w:val="000000" w:themeColor="text1"/>
                <w:vertAlign w:val="superscript"/>
              </w:rPr>
              <w:t>c</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16.00±0.58</w:t>
            </w:r>
            <w:r>
              <w:rPr>
                <w:color w:val="000000" w:themeColor="text1"/>
                <w:vertAlign w:val="superscript"/>
              </w:rPr>
              <w:t>c</w:t>
            </w:r>
          </w:p>
        </w:tc>
      </w:tr>
      <w:tr w:rsidR="00F934C1" w:rsidRPr="00BB4B6E" w:rsidTr="00F934C1">
        <w:trPr>
          <w:cantSplit/>
          <w:trHeight w:val="148"/>
        </w:trPr>
        <w:tc>
          <w:tcPr>
            <w:tcW w:w="252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 NPK  </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49.33±1.20</w:t>
            </w:r>
            <w:r w:rsidRPr="00BB4B6E">
              <w:rPr>
                <w:color w:val="000000" w:themeColor="text1"/>
                <w:vertAlign w:val="superscript"/>
              </w:rPr>
              <w:t>e</w:t>
            </w:r>
          </w:p>
        </w:tc>
        <w:tc>
          <w:tcPr>
            <w:tcW w:w="144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14.67±0.45</w:t>
            </w:r>
            <w:r>
              <w:rPr>
                <w:color w:val="000000" w:themeColor="text1"/>
                <w:vertAlign w:val="superscript"/>
              </w:rPr>
              <w:t>c</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76.67±2.33</w:t>
            </w:r>
            <w:r w:rsidRPr="00BB4B6E">
              <w:rPr>
                <w:color w:val="000000" w:themeColor="text1"/>
                <w:vertAlign w:val="superscript"/>
              </w:rPr>
              <w:t>d</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16.00±1.53</w:t>
            </w:r>
            <w:r>
              <w:rPr>
                <w:color w:val="000000" w:themeColor="text1"/>
                <w:vertAlign w:val="superscript"/>
              </w:rPr>
              <w:t>c</w:t>
            </w:r>
          </w:p>
        </w:tc>
      </w:tr>
      <w:tr w:rsidR="00F934C1" w:rsidRPr="00BB4B6E" w:rsidTr="00F934C1">
        <w:trPr>
          <w:cantSplit/>
          <w:trHeight w:val="66"/>
        </w:trPr>
        <w:tc>
          <w:tcPr>
            <w:tcW w:w="252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 NPK  </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33.00±1.15</w:t>
            </w:r>
            <w:r w:rsidRPr="00BB4B6E">
              <w:rPr>
                <w:color w:val="000000" w:themeColor="text1"/>
                <w:vertAlign w:val="superscript"/>
              </w:rPr>
              <w:t>c</w:t>
            </w:r>
          </w:p>
        </w:tc>
        <w:tc>
          <w:tcPr>
            <w:tcW w:w="144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14.33±0.24</w:t>
            </w:r>
            <w:r>
              <w:rPr>
                <w:color w:val="000000" w:themeColor="text1"/>
                <w:vertAlign w:val="superscript"/>
              </w:rPr>
              <w:t>c</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69.67±0.88</w:t>
            </w:r>
            <w:r>
              <w:rPr>
                <w:color w:val="000000" w:themeColor="text1"/>
                <w:vertAlign w:val="superscript"/>
              </w:rPr>
              <w:t>c</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16.00±0.58</w:t>
            </w:r>
            <w:r>
              <w:rPr>
                <w:color w:val="000000" w:themeColor="text1"/>
                <w:vertAlign w:val="superscript"/>
              </w:rPr>
              <w:t>c</w:t>
            </w:r>
          </w:p>
        </w:tc>
      </w:tr>
      <w:tr w:rsidR="00F934C1" w:rsidRPr="00BB4B6E" w:rsidTr="00F934C1">
        <w:trPr>
          <w:cantSplit/>
          <w:trHeight w:val="66"/>
        </w:trPr>
        <w:tc>
          <w:tcPr>
            <w:tcW w:w="252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Bone nHA+DAP+NPK </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45.00±1.15</w:t>
            </w:r>
            <w:r w:rsidRPr="00BB4B6E">
              <w:rPr>
                <w:color w:val="000000" w:themeColor="text1"/>
                <w:vertAlign w:val="superscript"/>
              </w:rPr>
              <w:t>de</w:t>
            </w:r>
          </w:p>
        </w:tc>
        <w:tc>
          <w:tcPr>
            <w:tcW w:w="144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15.3±0.32</w:t>
            </w:r>
            <w:r>
              <w:rPr>
                <w:color w:val="000000" w:themeColor="text1"/>
                <w:vertAlign w:val="superscript"/>
              </w:rPr>
              <w:t>c</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76.00±1.73</w:t>
            </w:r>
            <w:r w:rsidRPr="00BB4B6E">
              <w:rPr>
                <w:color w:val="000000" w:themeColor="text1"/>
                <w:vertAlign w:val="superscript"/>
              </w:rPr>
              <w:t>d</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17.00±0.58</w:t>
            </w:r>
            <w:r>
              <w:rPr>
                <w:color w:val="000000" w:themeColor="text1"/>
                <w:vertAlign w:val="superscript"/>
              </w:rPr>
              <w:t>c</w:t>
            </w:r>
            <w:r w:rsidRPr="00BB4B6E">
              <w:rPr>
                <w:color w:val="000000" w:themeColor="text1"/>
                <w:vertAlign w:val="superscript"/>
              </w:rPr>
              <w:t>d</w:t>
            </w:r>
          </w:p>
        </w:tc>
      </w:tr>
      <w:tr w:rsidR="00F934C1" w:rsidRPr="00BB4B6E" w:rsidTr="00F934C1">
        <w:trPr>
          <w:cantSplit/>
          <w:trHeight w:val="66"/>
        </w:trPr>
        <w:tc>
          <w:tcPr>
            <w:tcW w:w="2520" w:type="dxa"/>
            <w:tcBorders>
              <w:top w:val="nil"/>
              <w:bottom w:val="nil"/>
              <w:right w:val="nil"/>
            </w:tcBorders>
            <w:shd w:val="clear" w:color="auto" w:fill="FFFFFF"/>
            <w:tcMar>
              <w:top w:w="14" w:type="dxa"/>
              <w:left w:w="58" w:type="dxa"/>
              <w:bottom w:w="0" w:type="dxa"/>
              <w:right w:w="58" w:type="dxa"/>
            </w:tcMar>
          </w:tcPr>
          <w:p w:rsidR="00F934C1" w:rsidRPr="00BB4B6E" w:rsidRDefault="00F934C1" w:rsidP="00F934C1">
            <w:pPr>
              <w:pStyle w:val="Caption"/>
              <w:rPr>
                <w:b w:val="0"/>
                <w:color w:val="auto"/>
                <w:sz w:val="24"/>
                <w:szCs w:val="24"/>
              </w:rPr>
            </w:pPr>
            <w:r w:rsidRPr="00BB4B6E">
              <w:rPr>
                <w:b w:val="0"/>
                <w:color w:val="auto"/>
                <w:sz w:val="24"/>
                <w:szCs w:val="24"/>
              </w:rPr>
              <w:t xml:space="preserve">Syn nHA+DAP+NPK </w:t>
            </w:r>
          </w:p>
        </w:tc>
        <w:tc>
          <w:tcPr>
            <w:tcW w:w="162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30.00±0.58</w:t>
            </w:r>
            <w:r w:rsidRPr="00BB4B6E">
              <w:rPr>
                <w:color w:val="000000" w:themeColor="text1"/>
                <w:vertAlign w:val="superscript"/>
              </w:rPr>
              <w:t>c</w:t>
            </w:r>
          </w:p>
        </w:tc>
        <w:tc>
          <w:tcPr>
            <w:tcW w:w="144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14.27±0.23</w:t>
            </w:r>
            <w:r>
              <w:rPr>
                <w:color w:val="000000" w:themeColor="text1"/>
                <w:vertAlign w:val="superscript"/>
              </w:rPr>
              <w:t>c</w:t>
            </w:r>
          </w:p>
        </w:tc>
        <w:tc>
          <w:tcPr>
            <w:tcW w:w="1710" w:type="dxa"/>
            <w:tcBorders>
              <w:top w:val="nil"/>
              <w:left w:val="nil"/>
              <w:bottom w:val="nil"/>
              <w:right w:val="nil"/>
            </w:tcBorders>
            <w:shd w:val="clear" w:color="auto" w:fill="FFFFFF"/>
            <w:tcMar>
              <w:top w:w="14" w:type="dxa"/>
              <w:left w:w="58" w:type="dxa"/>
              <w:bottom w:w="0" w:type="dxa"/>
              <w:right w:w="58" w:type="dxa"/>
            </w:tcMar>
            <w:vAlign w:val="bottom"/>
          </w:tcPr>
          <w:p w:rsidR="00F934C1" w:rsidRPr="00BB4B6E" w:rsidRDefault="00F934C1" w:rsidP="00F934C1">
            <w:pPr>
              <w:rPr>
                <w:color w:val="000000" w:themeColor="text1"/>
              </w:rPr>
            </w:pPr>
            <w:r w:rsidRPr="00BB4B6E">
              <w:rPr>
                <w:color w:val="000000" w:themeColor="text1"/>
              </w:rPr>
              <w:t>73.67±1.20</w:t>
            </w:r>
            <w:r>
              <w:rPr>
                <w:color w:val="000000" w:themeColor="text1"/>
                <w:vertAlign w:val="superscript"/>
              </w:rPr>
              <w:t>c</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15.00±0.58</w:t>
            </w:r>
            <w:r>
              <w:rPr>
                <w:color w:val="000000" w:themeColor="text1"/>
                <w:vertAlign w:val="superscript"/>
              </w:rPr>
              <w:t>c</w:t>
            </w:r>
          </w:p>
        </w:tc>
      </w:tr>
      <w:tr w:rsidR="00F934C1" w:rsidRPr="00BB4B6E" w:rsidTr="00F934C1">
        <w:trPr>
          <w:cantSplit/>
          <w:trHeight w:val="66"/>
        </w:trPr>
        <w:tc>
          <w:tcPr>
            <w:tcW w:w="252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DAP</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24.00±1.15</w:t>
            </w:r>
            <w:r w:rsidRPr="00BB4B6E">
              <w:rPr>
                <w:color w:val="000000" w:themeColor="text1"/>
                <w:vertAlign w:val="superscript"/>
              </w:rPr>
              <w:t>b</w:t>
            </w:r>
          </w:p>
        </w:tc>
        <w:tc>
          <w:tcPr>
            <w:tcW w:w="144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10.77±0.12</w:t>
            </w:r>
            <w:r w:rsidRPr="00BB4B6E">
              <w:rPr>
                <w:color w:val="000000" w:themeColor="text1"/>
                <w:vertAlign w:val="superscript"/>
              </w:rPr>
              <w:t>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63.67±2.91</w:t>
            </w:r>
            <w:r w:rsidRPr="00BB4B6E">
              <w:rPr>
                <w:color w:val="000000" w:themeColor="text1"/>
                <w:vertAlign w:val="superscript"/>
              </w:rPr>
              <w:t>b</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9.67±0.67</w:t>
            </w:r>
            <w:r w:rsidRPr="00BB4B6E">
              <w:rPr>
                <w:color w:val="000000" w:themeColor="text1"/>
                <w:vertAlign w:val="superscript"/>
              </w:rPr>
              <w:t>a</w:t>
            </w:r>
          </w:p>
        </w:tc>
      </w:tr>
      <w:tr w:rsidR="00F934C1" w:rsidRPr="00BB4B6E" w:rsidTr="00F934C1">
        <w:trPr>
          <w:cantSplit/>
          <w:trHeight w:val="66"/>
        </w:trPr>
        <w:tc>
          <w:tcPr>
            <w:tcW w:w="252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NPK </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29.33±0.88</w:t>
            </w:r>
            <w:r w:rsidRPr="00BB4B6E">
              <w:rPr>
                <w:color w:val="000000" w:themeColor="text1"/>
                <w:vertAlign w:val="superscript"/>
              </w:rPr>
              <w:t>c</w:t>
            </w:r>
          </w:p>
        </w:tc>
        <w:tc>
          <w:tcPr>
            <w:tcW w:w="144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10.8±0.31</w:t>
            </w:r>
            <w:r w:rsidRPr="00BB4B6E">
              <w:rPr>
                <w:color w:val="000000" w:themeColor="text1"/>
                <w:vertAlign w:val="superscript"/>
              </w:rPr>
              <w:t>b</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65..33±2.33</w:t>
            </w:r>
            <w:r w:rsidRPr="00BB4B6E">
              <w:rPr>
                <w:color w:val="000000" w:themeColor="text1"/>
                <w:vertAlign w:val="superscript"/>
              </w:rPr>
              <w:t>b</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10.67±0.88</w:t>
            </w:r>
            <w:r w:rsidRPr="00BB4B6E">
              <w:rPr>
                <w:color w:val="000000" w:themeColor="text1"/>
                <w:vertAlign w:val="superscript"/>
              </w:rPr>
              <w:t>ab</w:t>
            </w:r>
          </w:p>
        </w:tc>
      </w:tr>
      <w:tr w:rsidR="00F934C1" w:rsidRPr="00BB4B6E" w:rsidTr="00F934C1">
        <w:trPr>
          <w:cantSplit/>
          <w:trHeight w:val="66"/>
        </w:trPr>
        <w:tc>
          <w:tcPr>
            <w:tcW w:w="2520" w:type="dxa"/>
            <w:tcBorders>
              <w:top w:val="nil"/>
              <w:bottom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 xml:space="preserve">DAP+NPK </w:t>
            </w:r>
          </w:p>
        </w:tc>
        <w:tc>
          <w:tcPr>
            <w:tcW w:w="162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28.33±1.20</w:t>
            </w:r>
            <w:r w:rsidRPr="00BB4B6E">
              <w:rPr>
                <w:color w:val="000000" w:themeColor="text1"/>
                <w:vertAlign w:val="superscript"/>
              </w:rPr>
              <w:t>c</w:t>
            </w:r>
          </w:p>
        </w:tc>
        <w:tc>
          <w:tcPr>
            <w:tcW w:w="144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14.53±0.24</w:t>
            </w:r>
            <w:r>
              <w:rPr>
                <w:color w:val="000000" w:themeColor="text1"/>
                <w:vertAlign w:val="superscript"/>
              </w:rPr>
              <w:t>c</w:t>
            </w:r>
          </w:p>
        </w:tc>
        <w:tc>
          <w:tcPr>
            <w:tcW w:w="1710" w:type="dxa"/>
            <w:tcBorders>
              <w:top w:val="nil"/>
              <w:left w:val="nil"/>
              <w:bottom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62.67±0.88</w:t>
            </w:r>
            <w:r w:rsidRPr="00BB4B6E">
              <w:rPr>
                <w:color w:val="000000" w:themeColor="text1"/>
                <w:vertAlign w:val="superscript"/>
              </w:rPr>
              <w:t>b</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11.33±0.33</w:t>
            </w:r>
            <w:r w:rsidRPr="00BB4B6E">
              <w:rPr>
                <w:color w:val="000000" w:themeColor="text1"/>
                <w:vertAlign w:val="superscript"/>
              </w:rPr>
              <w:t>b</w:t>
            </w:r>
          </w:p>
        </w:tc>
      </w:tr>
      <w:tr w:rsidR="00F934C1" w:rsidRPr="00BB4B6E" w:rsidTr="00F934C1">
        <w:trPr>
          <w:cantSplit/>
          <w:trHeight w:val="66"/>
        </w:trPr>
        <w:tc>
          <w:tcPr>
            <w:tcW w:w="2520" w:type="dxa"/>
            <w:tcBorders>
              <w:top w:val="nil"/>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r w:rsidRPr="00BB4B6E">
              <w:rPr>
                <w:b w:val="0"/>
                <w:color w:val="auto"/>
                <w:sz w:val="24"/>
                <w:szCs w:val="24"/>
              </w:rPr>
              <w:t>Non-treated control</w:t>
            </w:r>
          </w:p>
        </w:tc>
        <w:tc>
          <w:tcPr>
            <w:tcW w:w="1620" w:type="dxa"/>
            <w:tcBorders>
              <w:top w:val="nil"/>
              <w:left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20.00±0.58</w:t>
            </w:r>
            <w:r w:rsidRPr="00BB4B6E">
              <w:rPr>
                <w:color w:val="000000" w:themeColor="text1"/>
                <w:vertAlign w:val="superscript"/>
              </w:rPr>
              <w:t>a</w:t>
            </w:r>
          </w:p>
        </w:tc>
        <w:tc>
          <w:tcPr>
            <w:tcW w:w="1440" w:type="dxa"/>
            <w:tcBorders>
              <w:top w:val="nil"/>
              <w:left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5.73±0.24</w:t>
            </w:r>
            <w:r w:rsidRPr="00BB4B6E">
              <w:rPr>
                <w:color w:val="000000" w:themeColor="text1"/>
                <w:vertAlign w:val="superscript"/>
              </w:rPr>
              <w:t>a</w:t>
            </w:r>
          </w:p>
        </w:tc>
        <w:tc>
          <w:tcPr>
            <w:tcW w:w="1710" w:type="dxa"/>
            <w:tcBorders>
              <w:top w:val="nil"/>
              <w:left w:val="nil"/>
              <w:right w:val="nil"/>
            </w:tcBorders>
            <w:shd w:val="clear" w:color="auto" w:fill="FFFFFF"/>
            <w:tcMar>
              <w:top w:w="14" w:type="dxa"/>
              <w:left w:w="58" w:type="dxa"/>
              <w:bottom w:w="0" w:type="dxa"/>
              <w:right w:w="58" w:type="dxa"/>
            </w:tcMar>
            <w:vAlign w:val="bottom"/>
            <w:hideMark/>
          </w:tcPr>
          <w:p w:rsidR="00F934C1" w:rsidRPr="00BB4B6E" w:rsidRDefault="00F934C1" w:rsidP="00F934C1">
            <w:pPr>
              <w:rPr>
                <w:color w:val="000000" w:themeColor="text1"/>
              </w:rPr>
            </w:pPr>
            <w:r w:rsidRPr="00BB4B6E">
              <w:rPr>
                <w:color w:val="000000" w:themeColor="text1"/>
              </w:rPr>
              <w:t>56±1.73</w:t>
            </w:r>
            <w:r w:rsidRPr="00BB4B6E">
              <w:rPr>
                <w:color w:val="000000" w:themeColor="text1"/>
                <w:vertAlign w:val="superscript"/>
              </w:rPr>
              <w:t>a</w:t>
            </w:r>
          </w:p>
        </w:tc>
        <w:tc>
          <w:tcPr>
            <w:tcW w:w="1440" w:type="dxa"/>
            <w:tcBorders>
              <w:left w:val="nil"/>
              <w:right w:val="nil"/>
            </w:tcBorders>
            <w:shd w:val="clear" w:color="auto" w:fill="FFFFFF"/>
            <w:vAlign w:val="bottom"/>
          </w:tcPr>
          <w:p w:rsidR="00F934C1" w:rsidRPr="00BB4B6E" w:rsidRDefault="00F934C1" w:rsidP="00F934C1">
            <w:pPr>
              <w:rPr>
                <w:color w:val="000000" w:themeColor="text1"/>
              </w:rPr>
            </w:pPr>
            <w:r w:rsidRPr="00BB4B6E">
              <w:rPr>
                <w:color w:val="000000" w:themeColor="text1"/>
              </w:rPr>
              <w:t>7.33±1.20</w:t>
            </w:r>
            <w:r w:rsidRPr="00BB4B6E">
              <w:rPr>
                <w:color w:val="000000" w:themeColor="text1"/>
                <w:vertAlign w:val="superscript"/>
              </w:rPr>
              <w:t>a</w:t>
            </w:r>
          </w:p>
        </w:tc>
      </w:tr>
      <w:tr w:rsidR="00F934C1" w:rsidRPr="00BB4B6E" w:rsidTr="00F934C1">
        <w:trPr>
          <w:trHeight w:val="265"/>
        </w:trPr>
        <w:tc>
          <w:tcPr>
            <w:tcW w:w="2520" w:type="dxa"/>
            <w:tcBorders>
              <w:top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pStyle w:val="Caption"/>
              <w:rPr>
                <w:b w:val="0"/>
                <w:color w:val="auto"/>
                <w:sz w:val="24"/>
                <w:szCs w:val="24"/>
              </w:rPr>
            </w:pPr>
          </w:p>
        </w:tc>
        <w:tc>
          <w:tcPr>
            <w:tcW w:w="1620" w:type="dxa"/>
            <w:tcBorders>
              <w:top w:val="nil"/>
              <w:left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rPr>
                <w:color w:val="000000" w:themeColor="text1"/>
              </w:rPr>
            </w:pPr>
          </w:p>
        </w:tc>
        <w:tc>
          <w:tcPr>
            <w:tcW w:w="1440" w:type="dxa"/>
            <w:tcBorders>
              <w:top w:val="nil"/>
              <w:left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rPr>
                <w:color w:val="000000" w:themeColor="text1"/>
              </w:rPr>
            </w:pPr>
          </w:p>
        </w:tc>
        <w:tc>
          <w:tcPr>
            <w:tcW w:w="1710" w:type="dxa"/>
            <w:tcBorders>
              <w:top w:val="nil"/>
              <w:left w:val="nil"/>
              <w:bottom w:val="single" w:sz="4" w:space="0" w:color="auto"/>
              <w:right w:val="nil"/>
            </w:tcBorders>
            <w:shd w:val="clear" w:color="auto" w:fill="FFFFFF"/>
            <w:tcMar>
              <w:top w:w="14" w:type="dxa"/>
              <w:left w:w="58" w:type="dxa"/>
              <w:bottom w:w="0" w:type="dxa"/>
              <w:right w:w="58" w:type="dxa"/>
            </w:tcMar>
            <w:hideMark/>
          </w:tcPr>
          <w:p w:rsidR="00F934C1" w:rsidRPr="00BB4B6E" w:rsidRDefault="00F934C1" w:rsidP="00F934C1">
            <w:pPr>
              <w:rPr>
                <w:color w:val="000000" w:themeColor="text1"/>
              </w:rPr>
            </w:pPr>
            <w:r w:rsidRPr="00BB4B6E">
              <w:rPr>
                <w:color w:val="000000" w:themeColor="text1"/>
              </w:rPr>
              <w:t xml:space="preserve">P-value˂0.01 </w:t>
            </w:r>
          </w:p>
        </w:tc>
        <w:tc>
          <w:tcPr>
            <w:tcW w:w="1440" w:type="dxa"/>
            <w:tcBorders>
              <w:top w:val="nil"/>
              <w:left w:val="nil"/>
              <w:bottom w:val="single" w:sz="4" w:space="0" w:color="auto"/>
              <w:right w:val="nil"/>
            </w:tcBorders>
            <w:shd w:val="clear" w:color="auto" w:fill="FFFFFF"/>
          </w:tcPr>
          <w:p w:rsidR="00F934C1" w:rsidRPr="00BB4B6E" w:rsidRDefault="00F934C1" w:rsidP="00F934C1">
            <w:pPr>
              <w:rPr>
                <w:color w:val="000000" w:themeColor="text1"/>
              </w:rPr>
            </w:pPr>
          </w:p>
        </w:tc>
      </w:tr>
    </w:tbl>
    <w:p w:rsidR="00F934C1" w:rsidRPr="00BB4B6E" w:rsidRDefault="00F934C1" w:rsidP="00F934C1">
      <w:pPr>
        <w:spacing w:line="240" w:lineRule="auto"/>
        <w:rPr>
          <w:lang w:val="sw-KE" w:eastAsia="sw-KE"/>
        </w:rPr>
      </w:pPr>
      <w:r w:rsidRPr="00BB4B6E">
        <w:rPr>
          <w:lang w:eastAsia="sw-KE"/>
        </w:rPr>
        <w:t>Means ± SD superscripted with similar small letters within the same column are not significantly different at p =0.05 (Anova).</w:t>
      </w:r>
    </w:p>
    <w:p w:rsidR="00F934C1" w:rsidRPr="00BB4B6E" w:rsidRDefault="00F934C1" w:rsidP="00F934C1">
      <w:pPr>
        <w:rPr>
          <w:color w:val="000000" w:themeColor="text1"/>
        </w:rPr>
      </w:pPr>
    </w:p>
    <w:p w:rsidR="00F934C1" w:rsidRPr="00BB4B6E" w:rsidRDefault="00F934C1" w:rsidP="00F934C1">
      <w:pPr>
        <w:rPr>
          <w:color w:val="000000" w:themeColor="text1"/>
          <w:kern w:val="24"/>
        </w:rPr>
      </w:pPr>
      <w:r w:rsidRPr="00BB4B6E">
        <w:rPr>
          <w:color w:val="000000" w:themeColor="text1"/>
        </w:rPr>
        <w:t xml:space="preserve">The mean of </w:t>
      </w:r>
      <w:r w:rsidRPr="00BB4B6E">
        <w:t>dry weight, leaf diameter and number of leaves</w:t>
      </w:r>
      <w:r w:rsidRPr="00BB4B6E">
        <w:rPr>
          <w:color w:val="000000" w:themeColor="text1"/>
        </w:rPr>
        <w:t xml:space="preserve"> of kale grown in soils treated with </w:t>
      </w:r>
      <w:r w:rsidRPr="00BB4B6E">
        <w:rPr>
          <w:color w:val="000000" w:themeColor="text1"/>
          <w:kern w:val="24"/>
        </w:rPr>
        <w:t>Syn nHA</w:t>
      </w:r>
      <w:r w:rsidRPr="00BB4B6E">
        <w:rPr>
          <w:color w:val="0E101A"/>
        </w:rPr>
        <w:t xml:space="preserve">, </w:t>
      </w:r>
      <w:r w:rsidRPr="00BB4B6E">
        <w:rPr>
          <w:color w:val="000000" w:themeColor="text1"/>
          <w:kern w:val="24"/>
        </w:rPr>
        <w:t xml:space="preserve">Bone nHA </w:t>
      </w:r>
      <w:r w:rsidRPr="00BB4B6E">
        <w:rPr>
          <w:lang w:val="sw-KE" w:eastAsia="sw-KE"/>
        </w:rPr>
        <w:t xml:space="preserve">nano-fertilizers and their DAP/NPK combinations </w:t>
      </w:r>
      <w:r w:rsidRPr="00BB4B6E">
        <w:t>(</w:t>
      </w:r>
      <w:r w:rsidRPr="00BB4B6E">
        <w:rPr>
          <w:color w:val="000000" w:themeColor="text1"/>
        </w:rPr>
        <w:t xml:space="preserve">Table 4.16) ranged from </w:t>
      </w:r>
      <w:r w:rsidRPr="00BB4B6E">
        <w:t xml:space="preserve">18.67±0.88 to 23.00±1.15 mm (leaf diameter), 137.33±2.19 to 150.00±1.73 </w:t>
      </w:r>
      <w:r w:rsidRPr="00BB4B6E">
        <w:rPr>
          <w:color w:val="000000" w:themeColor="text1"/>
        </w:rPr>
        <w:t>g</w:t>
      </w:r>
      <w:r w:rsidRPr="00BB4B6E">
        <w:t xml:space="preserve"> (dry weight biomass), 21.67±1.20 to 28.33±1.45 (number of leaves). For spinach, (</w:t>
      </w:r>
      <w:r w:rsidRPr="00BB4B6E">
        <w:rPr>
          <w:color w:val="000000" w:themeColor="text1"/>
        </w:rPr>
        <w:t xml:space="preserve">Table 4.14) it ranged from </w:t>
      </w:r>
      <w:r w:rsidRPr="00BB4B6E">
        <w:t xml:space="preserve">10.63±0.30 to </w:t>
      </w:r>
      <w:r w:rsidRPr="00BB4B6E">
        <w:lastRenderedPageBreak/>
        <w:t xml:space="preserve">14.67±0.45 </w:t>
      </w:r>
      <w:r w:rsidRPr="00BB4B6E">
        <w:rPr>
          <w:color w:val="000000" w:themeColor="text1"/>
        </w:rPr>
        <w:t>mm</w:t>
      </w:r>
      <w:r w:rsidRPr="00BB4B6E">
        <w:t xml:space="preserve"> (leaf diameter), 69.67±0.88 to 77.67±1.20 </w:t>
      </w:r>
      <w:r w:rsidRPr="00BB4B6E">
        <w:rPr>
          <w:color w:val="000000" w:themeColor="text1"/>
        </w:rPr>
        <w:t>g</w:t>
      </w:r>
      <w:r w:rsidRPr="00BB4B6E">
        <w:t xml:space="preserve"> (dry weight biomass), 14.33±0.67 to 17.67±0.88 (number of leaves). For the beans (</w:t>
      </w:r>
      <w:r w:rsidRPr="00BB4B6E">
        <w:rPr>
          <w:color w:val="000000" w:themeColor="text1"/>
        </w:rPr>
        <w:t xml:space="preserve">Table 4.15) it ranged from </w:t>
      </w:r>
      <w:r w:rsidRPr="00BB4B6E">
        <w:t xml:space="preserve">24.23±0.09 to 31.00±0.58 (number of pods), 10.03±0.07 to 12.37±0.09 </w:t>
      </w:r>
      <w:r w:rsidRPr="00BB4B6E">
        <w:rPr>
          <w:color w:val="000000" w:themeColor="text1"/>
        </w:rPr>
        <w:t>mm</w:t>
      </w:r>
      <w:r w:rsidRPr="00BB4B6E">
        <w:t xml:space="preserve"> (leaf diameter), 81.33±0.33 to 97.33±0.88 </w:t>
      </w:r>
      <w:r w:rsidRPr="00BB4B6E">
        <w:rPr>
          <w:color w:val="000000" w:themeColor="text1"/>
        </w:rPr>
        <w:t>g</w:t>
      </w:r>
      <w:r w:rsidRPr="00BB4B6E">
        <w:t xml:space="preserve"> (dry weight biomass), 76.33±3.84 to 90.00±1.73 (number of leaves). </w:t>
      </w:r>
      <w:r w:rsidRPr="00BB4B6E">
        <w:rPr>
          <w:color w:val="000000" w:themeColor="text1"/>
          <w:kern w:val="24"/>
        </w:rPr>
        <w:t xml:space="preserve">The effectiveness of the </w:t>
      </w:r>
      <w:r w:rsidRPr="00BB4B6E">
        <w:t>bone nHA in improving bean height growth performance was further observed when comparing the bone nHA treatment with that of its combination with commercial fertilizers at 90</w:t>
      </w:r>
      <w:r w:rsidRPr="00BB4B6E">
        <w:rPr>
          <w:vertAlign w:val="superscript"/>
        </w:rPr>
        <w:t>th</w:t>
      </w:r>
      <w:r w:rsidRPr="00BB4B6E">
        <w:t xml:space="preserve"> day </w:t>
      </w:r>
      <w:r w:rsidRPr="00BB4B6E">
        <w:rPr>
          <w:color w:val="000000" w:themeColor="text1"/>
          <w:kern w:val="24"/>
        </w:rPr>
        <w:t xml:space="preserve">having statistically similar growth parameters, the </w:t>
      </w:r>
      <w:r w:rsidRPr="00BB4B6E">
        <w:t>bone nHA</w:t>
      </w:r>
      <w:r w:rsidRPr="00BB4B6E">
        <w:rPr>
          <w:color w:val="000000" w:themeColor="text1"/>
          <w:kern w:val="24"/>
        </w:rPr>
        <w:t xml:space="preserve"> had significantly higher bean heights (p&lt;0.01).</w:t>
      </w:r>
    </w:p>
    <w:p w:rsidR="00F934C1" w:rsidRPr="00BB4B6E" w:rsidRDefault="00F934C1" w:rsidP="00F934C1">
      <w:pPr>
        <w:rPr>
          <w:color w:val="000000" w:themeColor="text1"/>
          <w:kern w:val="24"/>
        </w:rPr>
      </w:pPr>
    </w:p>
    <w:p w:rsidR="00F934C1" w:rsidRPr="00BB4B6E" w:rsidRDefault="00F934C1" w:rsidP="00F934C1">
      <w:r w:rsidRPr="00BB4B6E">
        <w:rPr>
          <w:color w:val="000000" w:themeColor="text1"/>
          <w:kern w:val="24"/>
        </w:rPr>
        <w:t>The bone nHA</w:t>
      </w:r>
      <w:r w:rsidRPr="00BB4B6E">
        <w:rPr>
          <w:color w:val="000000"/>
        </w:rPr>
        <w:t xml:space="preserve"> had a significantly higher leaf diameter, number of leaves and dry biomass than the </w:t>
      </w:r>
      <w:r w:rsidRPr="00BB4B6E">
        <w:rPr>
          <w:color w:val="000000" w:themeColor="text1"/>
          <w:kern w:val="24"/>
        </w:rPr>
        <w:t>Syn nHA (p&lt;0.01). At 90 days for example</w:t>
      </w:r>
      <w:r w:rsidR="0072630F">
        <w:rPr>
          <w:color w:val="000000" w:themeColor="text1"/>
          <w:kern w:val="24"/>
        </w:rPr>
        <w:t>,</w:t>
      </w:r>
      <w:r w:rsidRPr="00BB4B6E">
        <w:rPr>
          <w:color w:val="000000" w:themeColor="text1"/>
          <w:kern w:val="24"/>
        </w:rPr>
        <w:t xml:space="preserve"> the kale dry weights were significantly higher at </w:t>
      </w:r>
      <w:r w:rsidRPr="00BB4B6E">
        <w:rPr>
          <w:rFonts w:eastAsia="Calibri"/>
          <w:color w:val="000000"/>
          <w:kern w:val="24"/>
        </w:rPr>
        <w:t>150.00±1.73 g for bone nHA</w:t>
      </w:r>
      <w:r w:rsidRPr="00BB4B6E">
        <w:rPr>
          <w:color w:val="000000" w:themeColor="text1"/>
          <w:kern w:val="24"/>
        </w:rPr>
        <w:t xml:space="preserve"> than that of </w:t>
      </w:r>
      <w:r w:rsidRPr="00BB4B6E">
        <w:rPr>
          <w:rFonts w:eastAsia="Calibri"/>
          <w:color w:val="000000"/>
          <w:kern w:val="24"/>
        </w:rPr>
        <w:t>145.00±1.53 g</w:t>
      </w:r>
      <w:r w:rsidRPr="00BB4B6E">
        <w:rPr>
          <w:color w:val="000000" w:themeColor="text1"/>
          <w:kern w:val="24"/>
        </w:rPr>
        <w:t xml:space="preserve"> of Syn nHA. </w:t>
      </w:r>
      <w:r w:rsidRPr="00BB4B6E">
        <w:t>Hence encapsulation of the nanoparticles with commercial fertilizers makes them to have a more selective adsorption of nutrients, enabling the gradual and controlled release of nutrients to the plants. This lengthens availability of these nutrients to the plants up to 90</w:t>
      </w:r>
      <w:r w:rsidRPr="00BB4B6E">
        <w:rPr>
          <w:vertAlign w:val="superscript"/>
        </w:rPr>
        <w:t>th</w:t>
      </w:r>
      <w:r w:rsidRPr="00BB4B6E">
        <w:t xml:space="preserve"> maturity day to guarantee higher productivity.</w:t>
      </w:r>
    </w:p>
    <w:p w:rsidR="00F934C1" w:rsidRPr="00BB4B6E" w:rsidRDefault="00F934C1" w:rsidP="00F934C1">
      <w:pPr>
        <w:rPr>
          <w:color w:val="000000" w:themeColor="text1"/>
        </w:rPr>
      </w:pPr>
    </w:p>
    <w:p w:rsidR="00F934C1" w:rsidRPr="00BB4B6E" w:rsidRDefault="00F934C1" w:rsidP="00F934C1">
      <w:pPr>
        <w:rPr>
          <w:color w:val="0E101A"/>
        </w:rPr>
      </w:pPr>
      <w:r w:rsidRPr="00BB4B6E">
        <w:rPr>
          <w:color w:val="0E101A"/>
        </w:rPr>
        <w:t xml:space="preserve">Several other studies have reported use of nano-fertilizers to improve growth performance. The related findings found that seed treated with nano-Fullerenes to increase bitter melon growth parameters such as number of fruits, fruit diameter, and fruit yield biomass by 128 %, 89 % and 56 % respectively </w:t>
      </w:r>
      <w:r w:rsidR="00C226E6" w:rsidRPr="00BB4B6E">
        <w:rPr>
          <w:color w:val="0E101A"/>
        </w:rPr>
        <w:fldChar w:fldCharType="begin" w:fldLock="1"/>
      </w:r>
      <w:r w:rsidRPr="00BB4B6E">
        <w:rPr>
          <w:color w:val="0E101A"/>
        </w:rPr>
        <w:instrText>ADDIN CSL_CITATION {"citationItems":[{"id":"ITEM-1","itemData":{"author":[{"dropping-particle":"","family":"Giraldo","given":"J. P.","non-dropping-particle":"","parse-names":false,"suffix":""},{"dropping-particle":"","family":"Landry","given":"M. P.","non-dropping-particle":"","parse-names":false,"suffix":""},{"dropping-particle":"","family":"Faltermeier, S. M., McNicholas","given":"T. P.","non-dropping-particle":"","parse-names":false,"suffix":""},{"dropping-particle":"","family":"Iverson, N. M., Boghossian","given":"A. A.","non-dropping-particle":"","parse-names":false,"suffix":""},{"dropping-particle":"","family":"Reuel","given":"N. F.","non-dropping-particle":"","parse-names":false,"suffix":""},{"dropping-particle":"","family":"Hilmer","given":"A. J.","non-dropping-particle":"","parse-names":false,"suffix":""},{"dropping-particle":"","family":"Sen","given":"F.","non-dropping-particle":"","parse-names":false,"suffix":""},{"dropping-particle":"","family":"Brew","given":"J. A.","non-dropping-particle":"","parse-names":false,"suffix":""},{"dropping-particle":"","family":"Strano","given":"M. S.","non-dropping-particle":"","parse-names":false,"suffix":""}],"container-title":"Natural Matter.","id":"ITEM-1","issued":{"date-parts":[["2014"]]},"page":"1038-1045.","title":"Plant nanobionics approach to augment photosynthesis and biochemical sensing","type":"article-journal","volume":"10"},"uris":["http://www.mendeley.com/documents/?uuid=863df769-a185-4e6a-8c76-dba02d081177"]}],"mendeley":{"formattedCitation":"(Giraldo et al., 2014)","manualFormatting":"(Giraldo et al., 2014","plainTextFormattedCitation":"(Giraldo et al., 2014)","previouslyFormattedCitation":"(Giraldo et al., 2014)"},"properties":{"noteIndex":0},"schema":"https://github.com/citation-style-language/schema/raw/master/csl-citation.json"}</w:instrText>
      </w:r>
      <w:r w:rsidR="00C226E6" w:rsidRPr="00BB4B6E">
        <w:rPr>
          <w:color w:val="0E101A"/>
        </w:rPr>
        <w:fldChar w:fldCharType="separate"/>
      </w:r>
      <w:r w:rsidRPr="00BB4B6E">
        <w:rPr>
          <w:noProof/>
          <w:color w:val="0E101A"/>
        </w:rPr>
        <w:t xml:space="preserve">(Giraldo </w:t>
      </w:r>
      <w:r w:rsidRPr="00BB4B6E">
        <w:rPr>
          <w:i/>
          <w:noProof/>
          <w:color w:val="0E101A"/>
        </w:rPr>
        <w:t>et al</w:t>
      </w:r>
      <w:r w:rsidRPr="00BB4B6E">
        <w:rPr>
          <w:noProof/>
          <w:color w:val="0E101A"/>
        </w:rPr>
        <w:t>., 2014</w:t>
      </w:r>
      <w:r w:rsidR="00C226E6" w:rsidRPr="00BB4B6E">
        <w:rPr>
          <w:color w:val="0E101A"/>
        </w:rPr>
        <w:fldChar w:fldCharType="end"/>
      </w:r>
      <w:r w:rsidRPr="00BB4B6E">
        <w:rPr>
          <w:color w:val="0E101A"/>
        </w:rPr>
        <w:t xml:space="preserve">; </w:t>
      </w:r>
      <w:r w:rsidR="00C226E6" w:rsidRPr="00BB4B6E">
        <w:rPr>
          <w:color w:val="0E101A"/>
        </w:rPr>
        <w:fldChar w:fldCharType="begin" w:fldLock="1"/>
      </w:r>
      <w:r w:rsidRPr="00BB4B6E">
        <w:rPr>
          <w:color w:val="0E101A"/>
        </w:rPr>
        <w:instrText>ADDIN CSL_CITATION {"citationItems":[{"id":"ITEM-1","itemData":{"author":[{"dropping-particle":"","family":"Kole","given":"C. P.","non-dropping-particle":"","parse-names":false,"suffix":""},{"dropping-particle":"","family":"Kole","given":"K. M.","non-dropping-particle":"","parse-names":false,"suffix":""},{"dropping-particle":"","family":"Randunu","given":"P.","non-dropping-particle":"","parse-names":false,"suffix":""},{"dropping-particle":"","family":"Choudhary","given":"R.","non-dropping-particle":"","parse-names":false,"suffix":""},{"dropping-particle":"","family":"Podila","given":"P. C.","non-dropping-particle":"","parse-names":false,"suffix":""},{"dropping-particle":"","family":"Ke","given":"A. M. R","non-dropping-particle":"","parse-names":false,"suffix":""},{"dropping-particle":"","family":"Marcus","given":"R. K.","non-dropping-particle":"","parse-names":false,"suffix":""}],"container-title":"BMC Biotechnology.","id":"ITEM-1","issue":"37","issued":{"date-parts":[["2013"]]},"page":"1472-1550","title":"Nanobiotechnology can boost crop production and quality: first evidence from increased plant biomass, fruit yield and phytomedicine content in bitter melon (Momordica charantia).","type":"article-journal","volume":"13"},"uris":["http://www.mendeley.com/documents/?uuid=7d43cfd6-8435-4292-94c7-2fcdeeeeb743"]}],"mendeley":{"formattedCitation":"(Kole et al., 2013)","manualFormatting":"Kole et al., 2013)","plainTextFormattedCitation":"(Kole et al., 2013)","previouslyFormattedCitation":"(Kole et al., 2013)"},"properties":{"noteIndex":0},"schema":"https://github.com/citation-style-language/schema/raw/master/csl-citation.json"}</w:instrText>
      </w:r>
      <w:r w:rsidR="00C226E6" w:rsidRPr="00BB4B6E">
        <w:rPr>
          <w:color w:val="0E101A"/>
        </w:rPr>
        <w:fldChar w:fldCharType="separate"/>
      </w:r>
      <w:r w:rsidRPr="00BB4B6E">
        <w:rPr>
          <w:noProof/>
          <w:color w:val="0E101A"/>
        </w:rPr>
        <w:t xml:space="preserve">Kole </w:t>
      </w:r>
      <w:r w:rsidRPr="00BB4B6E">
        <w:rPr>
          <w:i/>
          <w:noProof/>
          <w:color w:val="0E101A"/>
        </w:rPr>
        <w:t>et al</w:t>
      </w:r>
      <w:r w:rsidRPr="00BB4B6E">
        <w:rPr>
          <w:noProof/>
          <w:color w:val="0E101A"/>
        </w:rPr>
        <w:t>., 2013)</w:t>
      </w:r>
      <w:r w:rsidR="00C226E6" w:rsidRPr="00BB4B6E">
        <w:rPr>
          <w:color w:val="0E101A"/>
        </w:rPr>
        <w:fldChar w:fldCharType="end"/>
      </w:r>
      <w:r w:rsidRPr="00BB4B6E">
        <w:rPr>
          <w:color w:val="0E101A"/>
        </w:rPr>
        <w:t>. Similarly, titanium (IV) oxide nanoparticles and carbon nanoparticles encapsulated with commercial fertilizer enhanced growth of mung bean (</w:t>
      </w:r>
      <w:r w:rsidRPr="00BB4B6E">
        <w:rPr>
          <w:rStyle w:val="Emphasis"/>
          <w:rFonts w:eastAsiaTheme="majorEastAsia"/>
          <w:color w:val="0E101A"/>
        </w:rPr>
        <w:t>Vigra radiate L</w:t>
      </w:r>
      <w:r w:rsidRPr="00BB4B6E">
        <w:rPr>
          <w:color w:val="0E101A"/>
        </w:rPr>
        <w:t xml:space="preserve">.) and increased grain yields of soybean by 19 %, by </w:t>
      </w:r>
      <w:r w:rsidR="00C226E6" w:rsidRPr="00BB4B6E">
        <w:rPr>
          <w:color w:val="0E101A"/>
        </w:rPr>
        <w:fldChar w:fldCharType="begin" w:fldLock="1"/>
      </w:r>
      <w:r w:rsidRPr="00BB4B6E">
        <w:rPr>
          <w:color w:val="0E101A"/>
        </w:rPr>
        <w:instrText>ADDIN CSL_CITATION {"citationItems":[{"id":"ITEM-1","itemData":{"author":[{"dropping-particle":"","family":"Raliya","given":"R.","non-dropping-particle":"","parse-names":false,"suffix":""},{"dropping-particle":"","family":"Biswas","given":"P.","non-dropping-particle":"","parse-names":false,"suffix":""},{"dropping-particle":"","family":"Tarafdar","given":"J. C.","non-dropping-particle":"","parse-names":false,"suffix":""}],"container-title":"Biotechnology Reports.","id":"ITEM-1","issued":{"date-parts":[["2015"]]},"page":"22-26.","title":"TiO2 nanoparticle biosynthesis and its physiological effect on mung bean (Vigna radiata L.).","type":"article-journal","volume":"5"},"uris":["http://www.mendeley.com/documents/?uuid=49aac69a-7f40-46e5-8c51-db122b36e8f3"]}],"mendeley":{"formattedCitation":"(Raliya et al., 2015)","manualFormatting":"Raliya et al., 2015","plainTextFormattedCitation":"(Raliya et al., 2015)","previouslyFormattedCitation":"(Raliya et al., 2015)"},"properties":{"noteIndex":0},"schema":"https://github.com/citation-style-language/schema/raw/master/csl-citation.json"}</w:instrText>
      </w:r>
      <w:r w:rsidR="00C226E6" w:rsidRPr="00BB4B6E">
        <w:rPr>
          <w:color w:val="0E101A"/>
        </w:rPr>
        <w:fldChar w:fldCharType="separate"/>
      </w:r>
      <w:r w:rsidRPr="00BB4B6E">
        <w:rPr>
          <w:noProof/>
          <w:color w:val="0E101A"/>
        </w:rPr>
        <w:t xml:space="preserve">Raliya </w:t>
      </w:r>
      <w:r w:rsidRPr="00BB4B6E">
        <w:rPr>
          <w:i/>
          <w:noProof/>
          <w:color w:val="0E101A"/>
        </w:rPr>
        <w:t xml:space="preserve">et </w:t>
      </w:r>
      <w:r w:rsidRPr="00BB4B6E">
        <w:rPr>
          <w:i/>
          <w:noProof/>
          <w:color w:val="0E101A"/>
        </w:rPr>
        <w:lastRenderedPageBreak/>
        <w:t>al</w:t>
      </w:r>
      <w:r w:rsidRPr="00BB4B6E">
        <w:rPr>
          <w:noProof/>
          <w:color w:val="0E101A"/>
        </w:rPr>
        <w:t>., 2015</w:t>
      </w:r>
      <w:r w:rsidR="00C226E6" w:rsidRPr="00BB4B6E">
        <w:rPr>
          <w:color w:val="0E101A"/>
        </w:rPr>
        <w:fldChar w:fldCharType="end"/>
      </w:r>
      <w:r w:rsidRPr="00BB4B6E">
        <w:rPr>
          <w:color w:val="0E101A"/>
        </w:rPr>
        <w:t xml:space="preserve"> and </w:t>
      </w:r>
      <w:r w:rsidR="00C226E6" w:rsidRPr="00BB4B6E">
        <w:rPr>
          <w:color w:val="0E101A"/>
        </w:rPr>
        <w:fldChar w:fldCharType="begin" w:fldLock="1"/>
      </w:r>
      <w:r w:rsidRPr="00BB4B6E">
        <w:rPr>
          <w:color w:val="0E101A"/>
        </w:rPr>
        <w:instrText>ADDIN CSL_CITATION {"citationItems":[{"id":"ITEM-1","itemData":{"author":[{"dropping-particle":"","family":"Prasad","given":"T. N.","non-dropping-particle":"","parse-names":false,"suffix":""},{"dropping-particle":"","family":"Sudhakar, P., Sreenivasulu","given":"Y.","non-dropping-particle":"","parse-names":false,"suffix":""},{"dropping-particle":"","family":"Latha","given":"P.","non-dropping-particle":"","parse-names":false,"suffix":""},{"dropping-particle":"","family":"Munaswamy","given":"Y.","non-dropping-particle":"","parse-names":false,"suffix":""},{"dropping-particle":"","family":"Raja Reddy, K., Sreeprasad","given":"T. S.","non-dropping-particle":"","parse-names":false,"suffix":""},{"dropping-particle":"","family":"Sajanlal","given":"P. R.","non-dropping-particle":"","parse-names":false,"suffix":""},{"dropping-particle":"","family":"Pradeep","given":"T.","non-dropping-particle":"","parse-names":false,"suffix":""}],"container-title":"Journal of Plant Nutrition.","id":"ITEM-1","issue":"6","issued":{"date-parts":[["2012"]]},"page":"905-927.","title":"Effect of nanoscale zinc oxide particles on the germination, growth and yield of peanut.","type":"article-journal","volume":"35"},"uris":["http://www.mendeley.com/documents/?uuid=c22fdbde-34f2-42ba-b495-c910cae7ffee"]}],"mendeley":{"formattedCitation":"(Prasad et al., 2012)","manualFormatting":"Prasad et al., 2012 respectively","plainTextFormattedCitation":"(Prasad et al., 2012)","previouslyFormattedCitation":"(Prasad et al., 2012)"},"properties":{"noteIndex":0},"schema":"https://github.com/citation-style-language/schema/raw/master/csl-citation.json"}</w:instrText>
      </w:r>
      <w:r w:rsidR="00C226E6" w:rsidRPr="00BB4B6E">
        <w:rPr>
          <w:color w:val="0E101A"/>
        </w:rPr>
        <w:fldChar w:fldCharType="separate"/>
      </w:r>
      <w:r w:rsidRPr="00BB4B6E">
        <w:rPr>
          <w:noProof/>
          <w:color w:val="0E101A"/>
        </w:rPr>
        <w:t xml:space="preserve">Prasad </w:t>
      </w:r>
      <w:r w:rsidRPr="00BB4B6E">
        <w:rPr>
          <w:i/>
          <w:noProof/>
          <w:color w:val="0E101A"/>
        </w:rPr>
        <w:t>et al.</w:t>
      </w:r>
      <w:r w:rsidRPr="00BB4B6E">
        <w:rPr>
          <w:noProof/>
          <w:color w:val="0E101A"/>
        </w:rPr>
        <w:t>, 2012 respectively</w:t>
      </w:r>
      <w:r w:rsidR="00C226E6" w:rsidRPr="00BB4B6E">
        <w:rPr>
          <w:color w:val="0E101A"/>
        </w:rPr>
        <w:fldChar w:fldCharType="end"/>
      </w:r>
      <w:r w:rsidRPr="00BB4B6E">
        <w:rPr>
          <w:color w:val="0E101A"/>
        </w:rPr>
        <w:t>. Similarly, in other studies, there was an increase of 10.69 % of dry matter content in soy bean leaves and 51.5 % in the number of leaves when ZnO nanoparticles were used</w:t>
      </w:r>
      <w:r w:rsidR="00C226E6" w:rsidRPr="00BB4B6E">
        <w:rPr>
          <w:color w:val="0E101A"/>
        </w:rPr>
        <w:fldChar w:fldCharType="begin" w:fldLock="1"/>
      </w:r>
      <w:r w:rsidRPr="00BB4B6E">
        <w:rPr>
          <w:color w:val="0E101A"/>
        </w:rPr>
        <w:instrText>ADDIN CSL_CITATION {"citationItems":[{"id":"ITEM-1","itemData":{"author":[{"dropping-particle":"","family":"Dwivedi","given":"S.","non-dropping-particle":"","parse-names":false,"suffix":""},{"dropping-particle":"","family":"Saquib","given":"Q.","non-dropping-particle":"","parse-names":false,"suffix":""},{"dropping-particle":"","family":"Al-Khedhairy","given":"A.A.","non-dropping-particle":"","parse-names":false,"suffix":""},{"dropping-particle":"","family":"Musarrat","given":"J.","non-dropping-particle":"","parse-names":false,"suffix":""}],"container-title":"In Microbial Inoculants in Sustainable Agricultural Productivity; Singh, D.P., Singh, H.B., Prabha, R., Eds.; Springer: New Delhi, India","id":"ITEM-1","issued":{"date-parts":[["2016"]]},"page":"271–288.","title":"Understanding the role of nanomaterials in agriculture.","type":"entry-encyclopedia","volume":"216"},"uris":["http://www.mendeley.com/documents/?uuid=62ee322f-387d-44c2-b150-bec43517ccd4"]}],"mendeley":{"formattedCitation":"(Dwivedi et al., 2016)","plainTextFormattedCitation":"(Dwivedi et al., 2016)","previouslyFormattedCitation":"(Dwivedi et al., 2016)"},"properties":{"noteIndex":0},"schema":"https://github.com/citation-style-language/schema/raw/master/csl-citation.json"}</w:instrText>
      </w:r>
      <w:r w:rsidR="00C226E6" w:rsidRPr="00BB4B6E">
        <w:rPr>
          <w:color w:val="0E101A"/>
        </w:rPr>
        <w:fldChar w:fldCharType="separate"/>
      </w:r>
      <w:r w:rsidRPr="00BB4B6E">
        <w:rPr>
          <w:noProof/>
          <w:color w:val="0E101A"/>
        </w:rPr>
        <w:t xml:space="preserve"> by Dwivedi </w:t>
      </w:r>
      <w:r w:rsidRPr="00BB4B6E">
        <w:rPr>
          <w:i/>
          <w:noProof/>
          <w:color w:val="0E101A"/>
        </w:rPr>
        <w:t>et al</w:t>
      </w:r>
      <w:r w:rsidRPr="00BB4B6E">
        <w:rPr>
          <w:noProof/>
          <w:color w:val="0E101A"/>
        </w:rPr>
        <w:t>.(2016)</w:t>
      </w:r>
      <w:r w:rsidR="00C226E6" w:rsidRPr="00BB4B6E">
        <w:rPr>
          <w:color w:val="0E101A"/>
        </w:rPr>
        <w:fldChar w:fldCharType="end"/>
      </w:r>
      <w:r w:rsidRPr="00BB4B6E">
        <w:rPr>
          <w:color w:val="0E101A"/>
        </w:rPr>
        <w:t>.</w:t>
      </w:r>
    </w:p>
    <w:p w:rsidR="00F934C1" w:rsidRPr="00BB4B6E" w:rsidRDefault="00F934C1" w:rsidP="00F934C1">
      <w:pPr>
        <w:rPr>
          <w:color w:val="000000" w:themeColor="text1"/>
        </w:rPr>
      </w:pPr>
    </w:p>
    <w:p w:rsidR="00F934C1" w:rsidRPr="00BB4B6E" w:rsidRDefault="00F934C1" w:rsidP="00F934C1">
      <w:pPr>
        <w:pStyle w:val="Heading2"/>
        <w:spacing w:before="0"/>
        <w:rPr>
          <w:rFonts w:cs="Times New Roman"/>
          <w:szCs w:val="24"/>
        </w:rPr>
      </w:pPr>
      <w:bookmarkStart w:id="242" w:name="_Toc144820064"/>
      <w:bookmarkStart w:id="243" w:name="_Toc62228774"/>
      <w:r w:rsidRPr="00BB4B6E">
        <w:rPr>
          <w:rFonts w:cs="Times New Roman"/>
          <w:szCs w:val="24"/>
        </w:rPr>
        <w:t>4.6 Effects of Experimental Conditions on Adsorption of Metal</w:t>
      </w:r>
      <w:bookmarkEnd w:id="242"/>
    </w:p>
    <w:p w:rsidR="00F934C1" w:rsidRPr="00BB4B6E" w:rsidRDefault="00F934C1" w:rsidP="00F934C1">
      <w:pPr>
        <w:rPr>
          <w:b/>
          <w:bCs/>
          <w:color w:val="1A2B23"/>
        </w:rPr>
      </w:pPr>
      <w:r w:rsidRPr="00BB4B6E">
        <w:t xml:space="preserve"> The adsorption of the Cd</w:t>
      </w:r>
      <w:r w:rsidRPr="00BB4B6E">
        <w:rPr>
          <w:vertAlign w:val="superscript"/>
        </w:rPr>
        <w:t>2+</w:t>
      </w:r>
      <w:r w:rsidRPr="00BB4B6E">
        <w:t xml:space="preserve"> and Pb</w:t>
      </w:r>
      <w:r w:rsidRPr="00BB4B6E">
        <w:rPr>
          <w:vertAlign w:val="superscript"/>
        </w:rPr>
        <w:t>2+</w:t>
      </w:r>
      <w:r w:rsidRPr="00BB4B6E">
        <w:t xml:space="preserve"> from their aqueous metal solution using hydroxyapatite (HA) nanofertilizers</w:t>
      </w:r>
      <w:r w:rsidRPr="00BB4B6E">
        <w:rPr>
          <w:color w:val="000000" w:themeColor="text1"/>
        </w:rPr>
        <w:t xml:space="preserve"> investigated factor like effects of pH, adsorbent dosage, initial metal ion concentration and time of contact with adsorption of Cd</w:t>
      </w:r>
      <w:r w:rsidRPr="00BB4B6E">
        <w:rPr>
          <w:color w:val="000000" w:themeColor="text1"/>
          <w:vertAlign w:val="superscript"/>
        </w:rPr>
        <w:t>2+</w:t>
      </w:r>
      <w:r w:rsidRPr="00BB4B6E">
        <w:rPr>
          <w:color w:val="000000" w:themeColor="text1"/>
        </w:rPr>
        <w:t xml:space="preserve"> and Pb</w:t>
      </w:r>
      <w:r w:rsidRPr="00BB4B6E">
        <w:rPr>
          <w:color w:val="000000" w:themeColor="text1"/>
          <w:vertAlign w:val="superscript"/>
        </w:rPr>
        <w:t xml:space="preserve">2+ </w:t>
      </w:r>
      <w:r w:rsidRPr="00BB4B6E">
        <w:rPr>
          <w:color w:val="000000" w:themeColor="text1"/>
        </w:rPr>
        <w:t xml:space="preserve">onto nano-fertilizers. </w:t>
      </w:r>
    </w:p>
    <w:p w:rsidR="00F934C1" w:rsidRPr="00BB4B6E" w:rsidRDefault="00F934C1" w:rsidP="00F934C1">
      <w:pPr>
        <w:rPr>
          <w:b/>
          <w:color w:val="000000"/>
        </w:rPr>
      </w:pPr>
    </w:p>
    <w:p w:rsidR="00F934C1" w:rsidRPr="00BB4B6E" w:rsidRDefault="00F934C1" w:rsidP="00F934C1">
      <w:pPr>
        <w:pStyle w:val="Heading3"/>
        <w:spacing w:before="0"/>
        <w:rPr>
          <w:rFonts w:cs="Times New Roman"/>
        </w:rPr>
      </w:pPr>
      <w:bookmarkStart w:id="244" w:name="_Toc144820065"/>
      <w:r w:rsidRPr="00BB4B6E">
        <w:rPr>
          <w:rFonts w:cs="Times New Roman"/>
        </w:rPr>
        <w:t>4.6.1 Effect of Initial pH on Removal of Metal ion by Nanofertilizers</w:t>
      </w:r>
      <w:bookmarkEnd w:id="244"/>
    </w:p>
    <w:p w:rsidR="00F934C1" w:rsidRPr="00BB4B6E" w:rsidRDefault="00F934C1" w:rsidP="00F934C1">
      <w:pPr>
        <w:rPr>
          <w:color w:val="000000" w:themeColor="text1"/>
        </w:rPr>
      </w:pPr>
      <w:r w:rsidRPr="00BB4B6E">
        <w:rPr>
          <w:color w:val="000000" w:themeColor="text1"/>
        </w:rPr>
        <w:t>The adsorption of Cd and Pb onto the nano-fertilizers was studied at a range of different pH values varying from 2 to 12 for bone nHA and synthetic nHA. The results showed that the maximum Cd adsorption occurred at pH 6 and optimal Pb adsorption occurred at pH 5. At pH lower than 4, Cd</w:t>
      </w:r>
      <w:r w:rsidRPr="00BB4B6E">
        <w:rPr>
          <w:color w:val="000000" w:themeColor="text1"/>
          <w:vertAlign w:val="superscript"/>
        </w:rPr>
        <w:t xml:space="preserve">2+ </w:t>
      </w:r>
      <w:r w:rsidRPr="00BB4B6E">
        <w:rPr>
          <w:color w:val="000000" w:themeColor="text1"/>
        </w:rPr>
        <w:t>adsorption reduces due to protonation of the nanofertilizer surface, hence H</w:t>
      </w:r>
      <w:r w:rsidRPr="00BB4B6E">
        <w:rPr>
          <w:color w:val="000000" w:themeColor="text1"/>
          <w:vertAlign w:val="superscript"/>
        </w:rPr>
        <w:t xml:space="preserve">+ </w:t>
      </w:r>
      <w:r w:rsidRPr="00BB4B6E">
        <w:rPr>
          <w:color w:val="000000" w:themeColor="text1"/>
        </w:rPr>
        <w:t>ions from the acidic surface compete with the positively charged Cd</w:t>
      </w:r>
      <w:r w:rsidRPr="00BB4B6E">
        <w:rPr>
          <w:color w:val="000000" w:themeColor="text1"/>
          <w:vertAlign w:val="superscript"/>
        </w:rPr>
        <w:t>2+</w:t>
      </w:r>
      <w:r w:rsidRPr="00BB4B6E">
        <w:rPr>
          <w:color w:val="000000" w:themeColor="text1"/>
        </w:rPr>
        <w:t xml:space="preserve"> thus inhibiting the adsorption process. But, at higher pH range between 6 and 7, the H</w:t>
      </w:r>
      <w:r w:rsidRPr="00BB4B6E">
        <w:rPr>
          <w:color w:val="000000" w:themeColor="text1"/>
          <w:vertAlign w:val="superscript"/>
        </w:rPr>
        <w:t>+</w:t>
      </w:r>
      <w:r w:rsidRPr="00BB4B6E">
        <w:rPr>
          <w:color w:val="000000" w:themeColor="text1"/>
        </w:rPr>
        <w:t xml:space="preserve"> ions concentration from the adsorption surface decreases, hence favoring the adsorption of Cd</w:t>
      </w:r>
      <w:r w:rsidRPr="00BB4B6E">
        <w:rPr>
          <w:color w:val="000000" w:themeColor="text1"/>
          <w:vertAlign w:val="superscript"/>
        </w:rPr>
        <w:t>2+</w:t>
      </w:r>
      <w:r w:rsidRPr="00BB4B6E">
        <w:rPr>
          <w:color w:val="000000" w:themeColor="text1"/>
        </w:rPr>
        <w:t xml:space="preserve"> onto the negatively charged bone nHA and synthetic nHA adsorbent surface. Related results have been reported elsewhere by Hameed </w:t>
      </w:r>
      <w:r w:rsidRPr="00BB4B6E">
        <w:rPr>
          <w:i/>
          <w:color w:val="000000" w:themeColor="text1"/>
        </w:rPr>
        <w:t>et al</w:t>
      </w:r>
      <w:r w:rsidRPr="00BB4B6E">
        <w:rPr>
          <w:color w:val="000000" w:themeColor="text1"/>
        </w:rPr>
        <w:t>. (2017).</w:t>
      </w:r>
    </w:p>
    <w:p w:rsidR="00F934C1" w:rsidRPr="00BB4B6E" w:rsidRDefault="00F934C1" w:rsidP="00F934C1">
      <w:pPr>
        <w:spacing w:line="240" w:lineRule="auto"/>
        <w:rPr>
          <w:rFonts w:eastAsiaTheme="minorHAnsi"/>
        </w:rPr>
      </w:pPr>
    </w:p>
    <w:p w:rsidR="00F934C1" w:rsidRPr="00BB4B6E" w:rsidRDefault="00F934C1" w:rsidP="00F934C1">
      <w:pPr>
        <w:spacing w:line="240" w:lineRule="auto"/>
      </w:pPr>
      <w:r w:rsidRPr="00BB4B6E">
        <w:rPr>
          <w:rFonts w:eastAsiaTheme="minorHAnsi"/>
          <w:noProof/>
        </w:rPr>
        <w:lastRenderedPageBreak/>
        <w:drawing>
          <wp:inline distT="0" distB="0" distL="0" distR="0" wp14:anchorId="1AF66344" wp14:editId="794AE464">
            <wp:extent cx="4572000" cy="2743200"/>
            <wp:effectExtent l="19050" t="0" r="19050" b="0"/>
            <wp:docPr id="8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934C1" w:rsidRPr="00BB4B6E" w:rsidRDefault="00F934C1" w:rsidP="00F934C1">
      <w:pPr>
        <w:pStyle w:val="Heading5"/>
        <w:rPr>
          <w:rFonts w:eastAsiaTheme="minorHAnsi"/>
        </w:rPr>
      </w:pPr>
      <w:bookmarkStart w:id="245" w:name="_Toc120047560"/>
      <w:bookmarkStart w:id="246" w:name="_Toc144222363"/>
      <w:r>
        <w:t xml:space="preserve">Figure </w:t>
      </w:r>
      <w:r w:rsidRPr="00BB4B6E">
        <w:t>4.</w:t>
      </w:r>
      <w:r w:rsidR="00C226E6" w:rsidRPr="00BB4B6E">
        <w:fldChar w:fldCharType="begin"/>
      </w:r>
      <w:r w:rsidRPr="00BB4B6E">
        <w:instrText xml:space="preserve"> SEQ Fig._4. \* ARABIC </w:instrText>
      </w:r>
      <w:r w:rsidR="00C226E6" w:rsidRPr="00BB4B6E">
        <w:fldChar w:fldCharType="separate"/>
      </w:r>
      <w:r w:rsidR="00301A90">
        <w:rPr>
          <w:noProof/>
        </w:rPr>
        <w:t>7</w:t>
      </w:r>
      <w:r w:rsidR="00C226E6" w:rsidRPr="00BB4B6E">
        <w:fldChar w:fldCharType="end"/>
      </w:r>
      <w:r w:rsidRPr="00BB4B6E">
        <w:rPr>
          <w:rFonts w:eastAsiaTheme="minorHAnsi"/>
        </w:rPr>
        <w:t>: pH change and the adsorption of Cd</w:t>
      </w:r>
      <w:r w:rsidRPr="00BB4B6E">
        <w:rPr>
          <w:rFonts w:eastAsiaTheme="minorHAnsi"/>
          <w:vertAlign w:val="superscript"/>
        </w:rPr>
        <w:t>2+</w:t>
      </w:r>
      <w:r w:rsidRPr="00BB4B6E">
        <w:rPr>
          <w:rFonts w:eastAsiaTheme="minorHAnsi"/>
        </w:rPr>
        <w:t xml:space="preserve"> and Pb</w:t>
      </w:r>
      <w:r w:rsidRPr="00BB4B6E">
        <w:rPr>
          <w:rFonts w:eastAsiaTheme="minorHAnsi"/>
          <w:vertAlign w:val="superscript"/>
        </w:rPr>
        <w:t>2+</w:t>
      </w:r>
      <w:r w:rsidRPr="00BB4B6E">
        <w:rPr>
          <w:rFonts w:eastAsiaTheme="minorHAnsi"/>
        </w:rPr>
        <w:t xml:space="preserve"> on bone nHA</w:t>
      </w:r>
      <w:bookmarkEnd w:id="245"/>
      <w:bookmarkEnd w:id="246"/>
    </w:p>
    <w:p w:rsidR="00F934C1" w:rsidRPr="00BB4B6E" w:rsidRDefault="00F934C1" w:rsidP="00F934C1">
      <w:pPr>
        <w:rPr>
          <w:color w:val="000000"/>
        </w:rPr>
      </w:pPr>
    </w:p>
    <w:p w:rsidR="00F934C1" w:rsidRPr="00BB4B6E" w:rsidRDefault="00F934C1" w:rsidP="00F934C1">
      <w:pPr>
        <w:pStyle w:val="Heading3"/>
        <w:spacing w:before="0"/>
        <w:rPr>
          <w:rFonts w:cs="Times New Roman"/>
        </w:rPr>
      </w:pPr>
      <w:bookmarkStart w:id="247" w:name="_Toc144820066"/>
      <w:r w:rsidRPr="00BB4B6E">
        <w:rPr>
          <w:rFonts w:cs="Times New Roman"/>
        </w:rPr>
        <w:t>4.6.2 Effect of Nano-adsorbent Dose on Removal of Metal by Nanofertilizers</w:t>
      </w:r>
      <w:bookmarkEnd w:id="247"/>
    </w:p>
    <w:p w:rsidR="00F934C1" w:rsidRPr="00BB4B6E" w:rsidRDefault="00F934C1" w:rsidP="00F934C1">
      <w:pPr>
        <w:rPr>
          <w:color w:val="000000" w:themeColor="text1"/>
        </w:rPr>
      </w:pPr>
      <w:r w:rsidRPr="00BB4B6E">
        <w:rPr>
          <w:color w:val="000000" w:themeColor="text1"/>
        </w:rPr>
        <w:t>Effect of nano-adsorbent dose of nano-fertilizers was established using varied dose of 0.05 to 0.5 g nano-fertilizers in 50 ml test solution of Cd</w:t>
      </w:r>
      <w:r w:rsidRPr="00BB4B6E">
        <w:rPr>
          <w:color w:val="000000" w:themeColor="text1"/>
          <w:vertAlign w:val="superscript"/>
        </w:rPr>
        <w:t>2+</w:t>
      </w:r>
      <w:r w:rsidRPr="00BB4B6E">
        <w:rPr>
          <w:color w:val="000000" w:themeColor="text1"/>
        </w:rPr>
        <w:t xml:space="preserve"> or Pb</w:t>
      </w:r>
      <w:r w:rsidRPr="00BB4B6E">
        <w:rPr>
          <w:color w:val="000000" w:themeColor="text1"/>
          <w:vertAlign w:val="superscript"/>
        </w:rPr>
        <w:t>2+</w:t>
      </w:r>
      <w:r w:rsidRPr="00BB4B6E">
        <w:rPr>
          <w:color w:val="000000" w:themeColor="text1"/>
        </w:rPr>
        <w:t xml:space="preserve"> with optimal experimental initial metal concentration of 50 µg/g and pH of 6. The results (Fig. 4.10) indicated that t</w:t>
      </w:r>
      <w:r>
        <w:rPr>
          <w:color w:val="000000" w:themeColor="text1"/>
        </w:rPr>
        <w:t>he amount of Cd and Pb adsorbed</w:t>
      </w:r>
      <w:r w:rsidRPr="00BB4B6E">
        <w:rPr>
          <w:color w:val="000000" w:themeColor="text1"/>
        </w:rPr>
        <w:t xml:space="preserve"> increased with increase in the nano-adsorbent dose as shown on the graph. This can be attributed to increase in the number of exposed adsorption sites favoring the adsorption process of the metals.</w:t>
      </w:r>
    </w:p>
    <w:p w:rsidR="00F934C1" w:rsidRPr="00BB4B6E" w:rsidRDefault="00F934C1" w:rsidP="00F934C1">
      <w:pPr>
        <w:spacing w:line="240" w:lineRule="auto"/>
        <w:rPr>
          <w:color w:val="000000"/>
        </w:rPr>
      </w:pPr>
    </w:p>
    <w:p w:rsidR="00F934C1" w:rsidRPr="00BB4B6E" w:rsidRDefault="00F934C1" w:rsidP="00F934C1">
      <w:pPr>
        <w:spacing w:line="240" w:lineRule="auto"/>
        <w:rPr>
          <w:rFonts w:eastAsiaTheme="minorHAnsi"/>
        </w:rPr>
      </w:pPr>
    </w:p>
    <w:p w:rsidR="00F934C1" w:rsidRPr="00BB4B6E" w:rsidRDefault="00F934C1" w:rsidP="00F934C1">
      <w:pPr>
        <w:spacing w:line="240" w:lineRule="auto"/>
        <w:rPr>
          <w:rFonts w:eastAsiaTheme="minorHAnsi"/>
        </w:rPr>
      </w:pPr>
      <w:r w:rsidRPr="00BB4B6E">
        <w:rPr>
          <w:rFonts w:eastAsiaTheme="minorHAnsi"/>
          <w:noProof/>
        </w:rPr>
        <w:lastRenderedPageBreak/>
        <w:drawing>
          <wp:inline distT="0" distB="0" distL="0" distR="0" wp14:anchorId="4928D57A" wp14:editId="3E927A9E">
            <wp:extent cx="4572000" cy="2743200"/>
            <wp:effectExtent l="19050" t="0" r="19050" b="0"/>
            <wp:docPr id="8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934C1" w:rsidRPr="00BB4B6E" w:rsidRDefault="00F934C1" w:rsidP="00F934C1">
      <w:pPr>
        <w:pStyle w:val="Heading5"/>
        <w:rPr>
          <w:rFonts w:eastAsiaTheme="minorHAnsi"/>
          <w:iCs/>
        </w:rPr>
      </w:pPr>
      <w:bookmarkStart w:id="248" w:name="_Toc120047561"/>
      <w:bookmarkStart w:id="249" w:name="_Toc144222364"/>
      <w:r>
        <w:t>Figure</w:t>
      </w:r>
      <w:r w:rsidRPr="00BB4B6E">
        <w:t xml:space="preserve"> 4.</w:t>
      </w:r>
      <w:r w:rsidR="00C226E6" w:rsidRPr="00BB4B6E">
        <w:fldChar w:fldCharType="begin"/>
      </w:r>
      <w:r w:rsidRPr="00BB4B6E">
        <w:instrText xml:space="preserve"> SEQ Fig._4. \* ARABIC </w:instrText>
      </w:r>
      <w:r w:rsidR="00C226E6" w:rsidRPr="00BB4B6E">
        <w:fldChar w:fldCharType="separate"/>
      </w:r>
      <w:r w:rsidR="00301A90">
        <w:rPr>
          <w:noProof/>
        </w:rPr>
        <w:t>8</w:t>
      </w:r>
      <w:r w:rsidR="00C226E6" w:rsidRPr="00BB4B6E">
        <w:fldChar w:fldCharType="end"/>
      </w:r>
      <w:r w:rsidRPr="00BB4B6E">
        <w:rPr>
          <w:rFonts w:eastAsiaTheme="minorHAnsi"/>
        </w:rPr>
        <w:t xml:space="preserve">: </w:t>
      </w:r>
      <w:r w:rsidRPr="00BB4B6E">
        <w:rPr>
          <w:rFonts w:eastAsiaTheme="minorHAnsi"/>
          <w:iCs/>
        </w:rPr>
        <w:t>Adsorbent dosage on Pb</w:t>
      </w:r>
      <w:r w:rsidRPr="00BB4B6E">
        <w:rPr>
          <w:rFonts w:eastAsiaTheme="minorHAnsi"/>
          <w:iCs/>
          <w:vertAlign w:val="superscript"/>
        </w:rPr>
        <w:t>2+</w:t>
      </w:r>
      <w:r w:rsidRPr="00BB4B6E">
        <w:rPr>
          <w:rFonts w:eastAsiaTheme="minorHAnsi"/>
          <w:iCs/>
        </w:rPr>
        <w:t xml:space="preserve"> adsorption </w:t>
      </w:r>
      <w:r w:rsidRPr="00BB4B6E">
        <w:rPr>
          <w:rFonts w:eastAsiaTheme="minorHAnsi"/>
        </w:rPr>
        <w:t>using bone nHA</w:t>
      </w:r>
      <w:bookmarkEnd w:id="248"/>
      <w:bookmarkEnd w:id="249"/>
    </w:p>
    <w:p w:rsidR="00F934C1" w:rsidRPr="00BB4B6E" w:rsidRDefault="00F934C1" w:rsidP="00F934C1">
      <w:pPr>
        <w:rPr>
          <w:color w:val="000000"/>
        </w:rPr>
      </w:pPr>
    </w:p>
    <w:p w:rsidR="00F934C1" w:rsidRPr="00BB4B6E" w:rsidRDefault="00F934C1" w:rsidP="00F934C1">
      <w:pPr>
        <w:rPr>
          <w:color w:val="000000" w:themeColor="text1"/>
        </w:rPr>
      </w:pPr>
      <w:r w:rsidRPr="00BB4B6E">
        <w:rPr>
          <w:color w:val="000000" w:themeColor="text1"/>
        </w:rPr>
        <w:t>However, for the Cd adsorption the amount adsorbed decreased after certain point (shown on Fig 4.10), due to overlapping of the active adsorption sites thereby decreasing the overall adsorption exposed surface area available to Cd</w:t>
      </w:r>
      <w:r w:rsidRPr="00BB4B6E">
        <w:rPr>
          <w:color w:val="000000" w:themeColor="text1"/>
          <w:vertAlign w:val="superscript"/>
        </w:rPr>
        <w:t>2+</w:t>
      </w:r>
      <w:r w:rsidRPr="00BB4B6E">
        <w:rPr>
          <w:color w:val="000000" w:themeColor="text1"/>
        </w:rPr>
        <w:t xml:space="preserve"> adsorption (Zhangwei </w:t>
      </w:r>
      <w:r w:rsidRPr="00BB4B6E">
        <w:rPr>
          <w:i/>
          <w:color w:val="000000" w:themeColor="text1"/>
        </w:rPr>
        <w:t>et al</w:t>
      </w:r>
      <w:r w:rsidRPr="00BB4B6E">
        <w:rPr>
          <w:color w:val="000000" w:themeColor="text1"/>
        </w:rPr>
        <w:t xml:space="preserve">. 2019; Bertazzo </w:t>
      </w:r>
      <w:r w:rsidRPr="00BB4B6E">
        <w:rPr>
          <w:i/>
          <w:color w:val="000000" w:themeColor="text1"/>
        </w:rPr>
        <w:t>et al</w:t>
      </w:r>
      <w:r w:rsidRPr="00BB4B6E">
        <w:rPr>
          <w:color w:val="000000" w:themeColor="text1"/>
        </w:rPr>
        <w:t>. 2010). It was found that 5 g/L of nano-fertilizers adsorbed 99 % of 50 mg/L of Cd. But for Pb at 4g/L adsorbent dosage, the adsorption process remained constant.</w:t>
      </w:r>
    </w:p>
    <w:p w:rsidR="00F934C1" w:rsidRPr="00BB4B6E" w:rsidRDefault="00F934C1" w:rsidP="00F934C1">
      <w:pPr>
        <w:rPr>
          <w:color w:val="000000"/>
        </w:rPr>
      </w:pPr>
    </w:p>
    <w:p w:rsidR="00F934C1" w:rsidRPr="00BB4B6E" w:rsidRDefault="00F934C1" w:rsidP="00F934C1">
      <w:pPr>
        <w:pStyle w:val="Heading3"/>
        <w:spacing w:before="0"/>
        <w:rPr>
          <w:rFonts w:cs="Times New Roman"/>
        </w:rPr>
      </w:pPr>
      <w:bookmarkStart w:id="250" w:name="_Toc144820067"/>
      <w:r w:rsidRPr="00BB4B6E">
        <w:rPr>
          <w:rFonts w:cs="Times New Roman"/>
        </w:rPr>
        <w:t>4.6.3 Effect of Initial Metal Concentration on Adsorption by Nanofertilizers</w:t>
      </w:r>
      <w:bookmarkEnd w:id="250"/>
    </w:p>
    <w:p w:rsidR="00F934C1" w:rsidRPr="00BB4B6E" w:rsidRDefault="00F934C1" w:rsidP="00F934C1">
      <w:pPr>
        <w:rPr>
          <w:color w:val="000000" w:themeColor="text1"/>
        </w:rPr>
      </w:pPr>
      <w:r w:rsidRPr="00BB4B6E">
        <w:rPr>
          <w:color w:val="000000" w:themeColor="text1"/>
        </w:rPr>
        <w:t>The initial heavy metal concentrations effect was investigated at pH 6, 5g/L dosage for both the Cd and Pb by variation of respective heavy metal concentrations as follows; 5, 10, 15, 25, 50, 100, 250 and 500 mg/L at room temperature (300 K). The result presented in Fig. 4.11 indicated that the amount adsorbed decreased with the increase in the initial metal concentrations of both the Cd</w:t>
      </w:r>
      <w:r w:rsidRPr="00BB4B6E">
        <w:rPr>
          <w:color w:val="000000" w:themeColor="text1"/>
          <w:vertAlign w:val="superscript"/>
        </w:rPr>
        <w:t>2+</w:t>
      </w:r>
      <w:r w:rsidRPr="00BB4B6E">
        <w:rPr>
          <w:color w:val="000000" w:themeColor="text1"/>
        </w:rPr>
        <w:t xml:space="preserve"> and Pb</w:t>
      </w:r>
      <w:r w:rsidRPr="00BB4B6E">
        <w:rPr>
          <w:color w:val="000000" w:themeColor="text1"/>
          <w:vertAlign w:val="superscript"/>
        </w:rPr>
        <w:t>2+</w:t>
      </w:r>
      <w:r w:rsidRPr="00BB4B6E">
        <w:rPr>
          <w:color w:val="000000" w:themeColor="text1"/>
        </w:rPr>
        <w:t xml:space="preserve"> (Qi </w:t>
      </w:r>
      <w:r w:rsidRPr="00BB4B6E">
        <w:rPr>
          <w:i/>
          <w:color w:val="000000" w:themeColor="text1"/>
        </w:rPr>
        <w:t>et al</w:t>
      </w:r>
      <w:r w:rsidRPr="00BB4B6E">
        <w:rPr>
          <w:color w:val="000000" w:themeColor="text1"/>
        </w:rPr>
        <w:t xml:space="preserve">., 2020; Nilwala </w:t>
      </w:r>
      <w:r w:rsidRPr="00BB4B6E">
        <w:rPr>
          <w:i/>
          <w:color w:val="000000" w:themeColor="text1"/>
        </w:rPr>
        <w:t>et al.</w:t>
      </w:r>
      <w:r w:rsidRPr="00BB4B6E">
        <w:rPr>
          <w:color w:val="000000" w:themeColor="text1"/>
        </w:rPr>
        <w:t xml:space="preserve">, 2011). This can be attributed to presence of scarce adsorption sites to </w:t>
      </w:r>
      <w:r w:rsidRPr="00BB4B6E">
        <w:rPr>
          <w:color w:val="000000" w:themeColor="text1"/>
        </w:rPr>
        <w:lastRenderedPageBreak/>
        <w:t>adsorb the increasing number of Cd</w:t>
      </w:r>
      <w:r w:rsidRPr="00BB4B6E">
        <w:rPr>
          <w:color w:val="000000" w:themeColor="text1"/>
          <w:vertAlign w:val="superscript"/>
        </w:rPr>
        <w:t>2+</w:t>
      </w:r>
      <w:r w:rsidRPr="00BB4B6E">
        <w:rPr>
          <w:color w:val="000000" w:themeColor="text1"/>
        </w:rPr>
        <w:t xml:space="preserve"> or Pb</w:t>
      </w:r>
      <w:r w:rsidRPr="00BB4B6E">
        <w:rPr>
          <w:color w:val="000000" w:themeColor="text1"/>
          <w:vertAlign w:val="superscript"/>
        </w:rPr>
        <w:t>2+</w:t>
      </w:r>
      <w:r w:rsidRPr="00BB4B6E">
        <w:rPr>
          <w:color w:val="000000" w:themeColor="text1"/>
        </w:rPr>
        <w:t xml:space="preserve"> ions as the initial concentration is being increased.</w:t>
      </w:r>
    </w:p>
    <w:p w:rsidR="00F934C1" w:rsidRPr="00BB4B6E" w:rsidRDefault="00F934C1" w:rsidP="00F934C1">
      <w:pPr>
        <w:spacing w:line="240" w:lineRule="auto"/>
        <w:rPr>
          <w:rFonts w:eastAsiaTheme="minorHAnsi"/>
        </w:rPr>
      </w:pPr>
    </w:p>
    <w:p w:rsidR="00F934C1" w:rsidRPr="00BB4B6E" w:rsidRDefault="00F934C1" w:rsidP="00F934C1">
      <w:pPr>
        <w:spacing w:line="240" w:lineRule="auto"/>
        <w:rPr>
          <w:rFonts w:eastAsiaTheme="minorHAnsi"/>
        </w:rPr>
      </w:pPr>
    </w:p>
    <w:p w:rsidR="00F934C1" w:rsidRPr="00BB4B6E" w:rsidRDefault="00F934C1" w:rsidP="00F934C1">
      <w:pPr>
        <w:spacing w:line="240" w:lineRule="auto"/>
        <w:rPr>
          <w:rFonts w:eastAsiaTheme="minorHAnsi"/>
        </w:rPr>
      </w:pPr>
      <w:r w:rsidRPr="00BB4B6E">
        <w:rPr>
          <w:rFonts w:eastAsiaTheme="minorHAnsi"/>
          <w:noProof/>
        </w:rPr>
        <w:drawing>
          <wp:inline distT="0" distB="0" distL="0" distR="0" wp14:anchorId="1476DC50" wp14:editId="2EEEA588">
            <wp:extent cx="4572000" cy="2743200"/>
            <wp:effectExtent l="19050" t="0" r="19050" b="0"/>
            <wp:docPr id="8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934C1" w:rsidRPr="00BB4B6E" w:rsidRDefault="00F934C1" w:rsidP="00F934C1">
      <w:pPr>
        <w:pStyle w:val="Heading5"/>
        <w:rPr>
          <w:rFonts w:eastAsiaTheme="minorHAnsi"/>
        </w:rPr>
      </w:pPr>
      <w:bookmarkStart w:id="251" w:name="_Toc120047562"/>
      <w:bookmarkStart w:id="252" w:name="_Toc144222365"/>
      <w:r>
        <w:t>Figure</w:t>
      </w:r>
      <w:r w:rsidRPr="00BB4B6E">
        <w:t xml:space="preserve"> 4.</w:t>
      </w:r>
      <w:r w:rsidR="00C226E6" w:rsidRPr="00BB4B6E">
        <w:fldChar w:fldCharType="begin"/>
      </w:r>
      <w:r w:rsidRPr="00BB4B6E">
        <w:instrText xml:space="preserve"> SEQ Fig._4. \* ARABIC </w:instrText>
      </w:r>
      <w:r w:rsidR="00C226E6" w:rsidRPr="00BB4B6E">
        <w:fldChar w:fldCharType="separate"/>
      </w:r>
      <w:r w:rsidR="00301A90">
        <w:rPr>
          <w:noProof/>
        </w:rPr>
        <w:t>9</w:t>
      </w:r>
      <w:r w:rsidR="00C226E6" w:rsidRPr="00BB4B6E">
        <w:fldChar w:fldCharType="end"/>
      </w:r>
      <w:r w:rsidRPr="00BB4B6E">
        <w:rPr>
          <w:rFonts w:eastAsiaTheme="minorHAnsi"/>
        </w:rPr>
        <w:t>: Effect of Initial metal concentration on removal of Cd</w:t>
      </w:r>
      <w:r w:rsidRPr="00BB4B6E">
        <w:rPr>
          <w:rFonts w:eastAsiaTheme="minorHAnsi"/>
          <w:vertAlign w:val="superscript"/>
        </w:rPr>
        <w:t>2+</w:t>
      </w:r>
      <w:r w:rsidRPr="00BB4B6E">
        <w:rPr>
          <w:rFonts w:eastAsiaTheme="minorHAnsi"/>
        </w:rPr>
        <w:t xml:space="preserve"> and Pb</w:t>
      </w:r>
      <w:r w:rsidRPr="00BB4B6E">
        <w:rPr>
          <w:rFonts w:eastAsiaTheme="minorHAnsi"/>
          <w:vertAlign w:val="superscript"/>
        </w:rPr>
        <w:t>2+</w:t>
      </w:r>
      <w:r w:rsidRPr="00BB4B6E">
        <w:rPr>
          <w:rFonts w:eastAsiaTheme="minorHAnsi"/>
        </w:rPr>
        <w:t xml:space="preserve"> on bone nHA</w:t>
      </w:r>
      <w:bookmarkEnd w:id="251"/>
      <w:bookmarkEnd w:id="252"/>
    </w:p>
    <w:p w:rsidR="00F934C1" w:rsidRPr="00BB4B6E" w:rsidRDefault="00F934C1" w:rsidP="00F934C1"/>
    <w:p w:rsidR="00F934C1" w:rsidRPr="00BB4B6E" w:rsidRDefault="00F934C1" w:rsidP="00F934C1">
      <w:pPr>
        <w:pStyle w:val="Heading3"/>
        <w:spacing w:before="0"/>
        <w:rPr>
          <w:rFonts w:cs="Times New Roman"/>
          <w:iCs/>
        </w:rPr>
      </w:pPr>
      <w:bookmarkStart w:id="253" w:name="_Toc144820068"/>
      <w:r w:rsidRPr="00BB4B6E">
        <w:rPr>
          <w:rFonts w:cs="Times New Roman"/>
        </w:rPr>
        <w:t xml:space="preserve">4.6.4 </w:t>
      </w:r>
      <w:r w:rsidRPr="00BB4B6E">
        <w:rPr>
          <w:rFonts w:cs="Times New Roman"/>
          <w:iCs/>
        </w:rPr>
        <w:t>Effect of Contact Time</w:t>
      </w:r>
      <w:r w:rsidRPr="00BB4B6E">
        <w:rPr>
          <w:rFonts w:cs="Times New Roman"/>
        </w:rPr>
        <w:t xml:space="preserve"> on Adsorption of Metal by Nanofertilizers</w:t>
      </w:r>
      <w:bookmarkEnd w:id="253"/>
    </w:p>
    <w:p w:rsidR="00F934C1" w:rsidRPr="00BB4B6E" w:rsidRDefault="00F934C1" w:rsidP="00F934C1">
      <w:pPr>
        <w:rPr>
          <w:color w:val="000000" w:themeColor="text1"/>
        </w:rPr>
      </w:pPr>
      <w:r w:rsidRPr="00BB4B6E">
        <w:rPr>
          <w:color w:val="000000" w:themeColor="text1"/>
        </w:rPr>
        <w:t>Results on effect of time of contact on Cd</w:t>
      </w:r>
      <w:r w:rsidRPr="00BB4B6E">
        <w:rPr>
          <w:color w:val="000000" w:themeColor="text1"/>
          <w:vertAlign w:val="superscript"/>
        </w:rPr>
        <w:t>2+</w:t>
      </w:r>
      <w:r w:rsidRPr="00BB4B6E">
        <w:rPr>
          <w:color w:val="000000" w:themeColor="text1"/>
        </w:rPr>
        <w:t xml:space="preserve"> and Pb</w:t>
      </w:r>
      <w:r w:rsidRPr="00BB4B6E">
        <w:rPr>
          <w:color w:val="000000" w:themeColor="text1"/>
          <w:vertAlign w:val="superscript"/>
        </w:rPr>
        <w:t>2+</w:t>
      </w:r>
      <w:r w:rsidRPr="00BB4B6E">
        <w:rPr>
          <w:color w:val="000000" w:themeColor="text1"/>
        </w:rPr>
        <w:t xml:space="preserve"> adsorption by nanofertilizers using the same initial metal ion concentration (50 µg/ml) at pH 6 and 5g/L nanofertilizer dosage as other adsorption experiments, was found to have related kinetic properties. Time was varied between 0 to 240 minutes. The results presented on Figure 4.12 shows that for both metal ions, adsorption is optimal at 120 minutes. The faster adsorption observed with bone nHA, is attributed to higher stable adsorption sites in nanohydroxyapatites and higher adsorption efficiency of heavy metal in the nanofertilizers (Lateef </w:t>
      </w:r>
      <w:r w:rsidRPr="00BB4B6E">
        <w:rPr>
          <w:i/>
          <w:color w:val="000000" w:themeColor="text1"/>
        </w:rPr>
        <w:t>et al</w:t>
      </w:r>
      <w:r w:rsidRPr="00BB4B6E">
        <w:rPr>
          <w:color w:val="000000" w:themeColor="text1"/>
        </w:rPr>
        <w:t>., 2016).</w:t>
      </w:r>
    </w:p>
    <w:p w:rsidR="00F934C1" w:rsidRPr="00BB4B6E" w:rsidRDefault="00F934C1" w:rsidP="00F934C1">
      <w:pPr>
        <w:spacing w:line="240" w:lineRule="auto"/>
        <w:rPr>
          <w:rFonts w:eastAsiaTheme="minorHAnsi"/>
        </w:rPr>
      </w:pPr>
    </w:p>
    <w:p w:rsidR="00F934C1" w:rsidRPr="00BB4B6E" w:rsidRDefault="00F934C1" w:rsidP="00F934C1">
      <w:pPr>
        <w:spacing w:line="240" w:lineRule="auto"/>
        <w:jc w:val="left"/>
        <w:rPr>
          <w:rFonts w:eastAsiaTheme="minorHAnsi"/>
        </w:rPr>
      </w:pPr>
    </w:p>
    <w:p w:rsidR="00F934C1" w:rsidRPr="00BB4B6E" w:rsidRDefault="00F934C1" w:rsidP="00F934C1">
      <w:pPr>
        <w:spacing w:line="240" w:lineRule="auto"/>
        <w:jc w:val="left"/>
        <w:rPr>
          <w:rFonts w:eastAsiaTheme="minorHAnsi"/>
        </w:rPr>
      </w:pPr>
      <w:r w:rsidRPr="00BB4B6E">
        <w:rPr>
          <w:rFonts w:eastAsiaTheme="minorHAnsi"/>
          <w:noProof/>
        </w:rPr>
        <w:lastRenderedPageBreak/>
        <w:drawing>
          <wp:inline distT="0" distB="0" distL="0" distR="0" wp14:anchorId="14511C4A" wp14:editId="06B6FA1C">
            <wp:extent cx="4514850" cy="2400300"/>
            <wp:effectExtent l="19050" t="0" r="19050" b="0"/>
            <wp:docPr id="8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934C1" w:rsidRPr="00BB4B6E" w:rsidRDefault="00F934C1" w:rsidP="00F934C1">
      <w:pPr>
        <w:pStyle w:val="Heading5"/>
        <w:rPr>
          <w:rFonts w:eastAsiaTheme="minorHAnsi"/>
        </w:rPr>
      </w:pPr>
      <w:bookmarkStart w:id="254" w:name="_Toc120047563"/>
      <w:bookmarkStart w:id="255" w:name="_Toc144222366"/>
      <w:r>
        <w:t xml:space="preserve">Figure </w:t>
      </w:r>
      <w:r w:rsidRPr="00BB4B6E">
        <w:t>4.</w:t>
      </w:r>
      <w:r w:rsidR="00C226E6" w:rsidRPr="00BB4B6E">
        <w:fldChar w:fldCharType="begin"/>
      </w:r>
      <w:r w:rsidRPr="00BB4B6E">
        <w:instrText xml:space="preserve"> SEQ Fig._4. \* ARABIC </w:instrText>
      </w:r>
      <w:r w:rsidR="00C226E6" w:rsidRPr="00BB4B6E">
        <w:fldChar w:fldCharType="separate"/>
      </w:r>
      <w:r w:rsidR="00301A90">
        <w:rPr>
          <w:noProof/>
        </w:rPr>
        <w:t>10</w:t>
      </w:r>
      <w:r w:rsidR="00C226E6" w:rsidRPr="00BB4B6E">
        <w:fldChar w:fldCharType="end"/>
      </w:r>
      <w:r w:rsidRPr="00BB4B6E">
        <w:rPr>
          <w:rFonts w:eastAsiaTheme="minorHAnsi"/>
        </w:rPr>
        <w:t>: Contact time on the adsorption of Cd</w:t>
      </w:r>
      <w:r w:rsidRPr="00BB4B6E">
        <w:rPr>
          <w:rFonts w:eastAsiaTheme="minorHAnsi"/>
          <w:vertAlign w:val="superscript"/>
        </w:rPr>
        <w:t>2+</w:t>
      </w:r>
      <w:r w:rsidRPr="00BB4B6E">
        <w:rPr>
          <w:rFonts w:eastAsiaTheme="minorHAnsi"/>
        </w:rPr>
        <w:t xml:space="preserve"> and Pb</w:t>
      </w:r>
      <w:r w:rsidRPr="00BB4B6E">
        <w:rPr>
          <w:rFonts w:eastAsiaTheme="minorHAnsi"/>
          <w:vertAlign w:val="superscript"/>
        </w:rPr>
        <w:t>2+</w:t>
      </w:r>
      <w:r w:rsidRPr="00BB4B6E">
        <w:rPr>
          <w:rFonts w:eastAsiaTheme="minorHAnsi"/>
        </w:rPr>
        <w:t xml:space="preserve"> on bone nHA</w:t>
      </w:r>
      <w:bookmarkEnd w:id="254"/>
      <w:bookmarkEnd w:id="255"/>
    </w:p>
    <w:p w:rsidR="00F934C1" w:rsidRPr="00BB4B6E" w:rsidRDefault="00F934C1" w:rsidP="00F934C1">
      <w:pPr>
        <w:rPr>
          <w:color w:val="FF0000"/>
        </w:rPr>
      </w:pPr>
    </w:p>
    <w:p w:rsidR="00F934C1" w:rsidRPr="00BB4B6E" w:rsidRDefault="00F934C1" w:rsidP="00F934C1">
      <w:pPr>
        <w:pStyle w:val="Heading2"/>
        <w:spacing w:before="0"/>
        <w:rPr>
          <w:rFonts w:cs="Times New Roman"/>
          <w:color w:val="auto"/>
          <w:szCs w:val="24"/>
        </w:rPr>
      </w:pPr>
      <w:bookmarkStart w:id="256" w:name="_Toc144820069"/>
      <w:bookmarkStart w:id="257" w:name="_Toc114763420"/>
      <w:r w:rsidRPr="00BB4B6E">
        <w:rPr>
          <w:rFonts w:cs="Times New Roman"/>
          <w:color w:val="auto"/>
          <w:szCs w:val="24"/>
        </w:rPr>
        <w:t>4.7 Adsorption Isotherms after Optimization</w:t>
      </w:r>
      <w:bookmarkEnd w:id="256"/>
    </w:p>
    <w:p w:rsidR="00F934C1" w:rsidRPr="00BB4B6E" w:rsidRDefault="00F934C1" w:rsidP="00F934C1">
      <w:pPr>
        <w:rPr>
          <w:b/>
        </w:rPr>
      </w:pPr>
      <w:r w:rsidRPr="00BB4B6E">
        <w:t>This study on the adsorption process of Cd</w:t>
      </w:r>
      <w:r w:rsidRPr="00BB4B6E">
        <w:rPr>
          <w:vertAlign w:val="superscript"/>
        </w:rPr>
        <w:t>2+</w:t>
      </w:r>
      <w:r w:rsidRPr="00BB4B6E">
        <w:t xml:space="preserve"> and Pb</w:t>
      </w:r>
      <w:r w:rsidRPr="00BB4B6E">
        <w:rPr>
          <w:vertAlign w:val="superscript"/>
        </w:rPr>
        <w:t xml:space="preserve">2+ </w:t>
      </w:r>
      <w:r w:rsidRPr="00BB4B6E">
        <w:t>from their aqueous solutions using bone nanofertilizers, studied the factors that affects adsorption like pH, contact time, initial concentration and nano-adsorbent dose (</w:t>
      </w:r>
      <w:r w:rsidRPr="00BB4B6E">
        <w:rPr>
          <w:color w:val="000000"/>
        </w:rPr>
        <w:t xml:space="preserve">Shojaei </w:t>
      </w:r>
      <w:r w:rsidRPr="00BB4B6E">
        <w:rPr>
          <w:i/>
          <w:color w:val="000000"/>
        </w:rPr>
        <w:t>et al</w:t>
      </w:r>
      <w:r w:rsidRPr="00BB4B6E">
        <w:rPr>
          <w:color w:val="000000"/>
        </w:rPr>
        <w:t xml:space="preserve">., </w:t>
      </w:r>
      <w:r w:rsidRPr="00BB4B6E">
        <w:t xml:space="preserve">2019). </w:t>
      </w:r>
    </w:p>
    <w:p w:rsidR="00F934C1" w:rsidRPr="00BB4B6E" w:rsidRDefault="00F934C1" w:rsidP="00F934C1"/>
    <w:p w:rsidR="00F934C1" w:rsidRPr="00BB4B6E" w:rsidRDefault="00F934C1" w:rsidP="00F934C1">
      <w:r w:rsidRPr="00BB4B6E">
        <w:t>La</w:t>
      </w:r>
      <w:r>
        <w:t>ngmuir and Freundlich isotherm E</w:t>
      </w:r>
      <w:r w:rsidRPr="00BB4B6E">
        <w:t>quations (2.2 and 2.3) were fitted with experimental data obtained for Cd</w:t>
      </w:r>
      <w:r w:rsidRPr="00BB4B6E">
        <w:rPr>
          <w:vertAlign w:val="superscript"/>
        </w:rPr>
        <w:t>2+</w:t>
      </w:r>
      <w:r w:rsidRPr="00BB4B6E">
        <w:t xml:space="preserve"> and Pb</w:t>
      </w:r>
      <w:r w:rsidRPr="00BB4B6E">
        <w:rPr>
          <w:vertAlign w:val="superscript"/>
        </w:rPr>
        <w:t>2+</w:t>
      </w:r>
      <w:r w:rsidRPr="00BB4B6E">
        <w:t xml:space="preserve">ions against initial metal concentration for bone and synthetic nDAP, nNPK, nNPK-DAP, nHA nano-fertilizers. The constants of </w:t>
      </w:r>
      <w:r w:rsidRPr="00BB4B6E">
        <w:rPr>
          <w:b/>
        </w:rPr>
        <w:t>Q</w:t>
      </w:r>
      <w:r w:rsidRPr="00BB4B6E">
        <w:rPr>
          <w:b/>
          <w:vertAlign w:val="subscript"/>
        </w:rPr>
        <w:t>max</w:t>
      </w:r>
      <w:r w:rsidRPr="00BB4B6E">
        <w:t xml:space="preserve"> (adsorptive capacity (mg/g) and </w:t>
      </w:r>
      <w:r w:rsidRPr="00BB4B6E">
        <w:rPr>
          <w:b/>
        </w:rPr>
        <w:t xml:space="preserve">b </w:t>
      </w:r>
      <w:r w:rsidRPr="00BB4B6E">
        <w:t xml:space="preserve">(binding energy to adsorption sites) were obtained from the Langmuir equation linear plot of </w:t>
      </w:r>
      <w:r w:rsidRPr="00BB4B6E">
        <w:rPr>
          <w:b/>
        </w:rPr>
        <w:t>1/q</w:t>
      </w:r>
      <w:r w:rsidRPr="00BB4B6E">
        <w:rPr>
          <w:b/>
          <w:vertAlign w:val="subscript"/>
        </w:rPr>
        <w:t xml:space="preserve">e </w:t>
      </w:r>
      <w:r w:rsidRPr="00BB4B6E">
        <w:t xml:space="preserve">against </w:t>
      </w:r>
      <w:r w:rsidRPr="00BB4B6E">
        <w:rPr>
          <w:b/>
        </w:rPr>
        <w:t>1/C</w:t>
      </w:r>
      <w:r w:rsidRPr="00BB4B6E">
        <w:rPr>
          <w:b/>
          <w:vertAlign w:val="subscript"/>
        </w:rPr>
        <w:t>e</w:t>
      </w:r>
      <w:r w:rsidRPr="00BB4B6E">
        <w:t xml:space="preserve"> as slope and y-intercept respectively. For Freundlich, K</w:t>
      </w:r>
      <w:r w:rsidRPr="00BB4B6E">
        <w:rPr>
          <w:vertAlign w:val="subscript"/>
        </w:rPr>
        <w:t>f</w:t>
      </w:r>
      <w:r w:rsidRPr="00BB4B6E">
        <w:t xml:space="preserve"> and l/n (y-intercept and gradient respectively) were computed from a linear plot of </w:t>
      </w:r>
      <w:r w:rsidRPr="00BB4B6E">
        <w:rPr>
          <w:b/>
        </w:rPr>
        <w:t>log q</w:t>
      </w:r>
      <w:r w:rsidRPr="00BB4B6E">
        <w:rPr>
          <w:b/>
          <w:vertAlign w:val="subscript"/>
        </w:rPr>
        <w:t>e</w:t>
      </w:r>
      <w:r w:rsidRPr="00BB4B6E">
        <w:t xml:space="preserve">, against </w:t>
      </w:r>
      <w:r w:rsidRPr="00BB4B6E">
        <w:rPr>
          <w:b/>
        </w:rPr>
        <w:t>log C</w:t>
      </w:r>
      <w:r w:rsidRPr="00BB4B6E">
        <w:rPr>
          <w:b/>
          <w:vertAlign w:val="subscript"/>
        </w:rPr>
        <w:t>e</w:t>
      </w:r>
      <w:r w:rsidRPr="00BB4B6E">
        <w:t xml:space="preserve">. </w:t>
      </w:r>
      <w:r w:rsidRPr="00BB4B6E">
        <w:rPr>
          <w:b/>
        </w:rPr>
        <w:t>q</w:t>
      </w:r>
      <w:r w:rsidRPr="00BB4B6E">
        <w:rPr>
          <w:b/>
          <w:vertAlign w:val="subscript"/>
        </w:rPr>
        <w:t xml:space="preserve">e </w:t>
      </w:r>
      <w:r w:rsidRPr="00BB4B6E">
        <w:t>(maximum adsorptive capacity (mg/g), K</w:t>
      </w:r>
      <w:r w:rsidRPr="00BB4B6E">
        <w:rPr>
          <w:vertAlign w:val="subscript"/>
        </w:rPr>
        <w:t xml:space="preserve">f </w:t>
      </w:r>
      <w:r w:rsidRPr="00BB4B6E">
        <w:t>(Freundlich constant on affinity to adsorption) and ‘</w:t>
      </w:r>
      <w:r w:rsidRPr="00BB4B6E">
        <w:rPr>
          <w:b/>
        </w:rPr>
        <w:t>n</w:t>
      </w:r>
      <w:r w:rsidRPr="00BB4B6E">
        <w:t>’(adsorptive intensity). The results are discussed in the following subsections.</w:t>
      </w:r>
    </w:p>
    <w:p w:rsidR="00F934C1" w:rsidRPr="00BB4B6E" w:rsidRDefault="00F934C1" w:rsidP="00F934C1">
      <w:pPr>
        <w:pStyle w:val="Heading2"/>
        <w:spacing w:before="0"/>
        <w:rPr>
          <w:rFonts w:cs="Times New Roman"/>
          <w:szCs w:val="24"/>
        </w:rPr>
      </w:pPr>
      <w:bookmarkStart w:id="258" w:name="_Toc144820070"/>
      <w:r w:rsidRPr="00BB4B6E">
        <w:rPr>
          <w:rFonts w:cs="Times New Roman"/>
          <w:szCs w:val="24"/>
        </w:rPr>
        <w:lastRenderedPageBreak/>
        <w:t>4.8 Adsorption Isotherms Fitting for Cadmium and Lead</w:t>
      </w:r>
      <w:bookmarkEnd w:id="257"/>
      <w:bookmarkEnd w:id="258"/>
    </w:p>
    <w:p w:rsidR="00F934C1" w:rsidRPr="00BB4B6E" w:rsidRDefault="00F934C1" w:rsidP="00F934C1">
      <w:pPr>
        <w:pStyle w:val="Heading3"/>
        <w:spacing w:before="0"/>
        <w:rPr>
          <w:rFonts w:cs="Times New Roman"/>
          <w:color w:val="auto"/>
        </w:rPr>
      </w:pPr>
      <w:bookmarkStart w:id="259" w:name="_Toc114763421"/>
      <w:bookmarkStart w:id="260" w:name="_Toc144820071"/>
      <w:r w:rsidRPr="00BB4B6E">
        <w:rPr>
          <w:rFonts w:cs="Times New Roman"/>
          <w:color w:val="auto"/>
        </w:rPr>
        <w:t>4.8.1 Adsorption Isotherms Fitting for Cadmium</w:t>
      </w:r>
      <w:bookmarkEnd w:id="259"/>
      <w:bookmarkEnd w:id="260"/>
    </w:p>
    <w:p w:rsidR="00F934C1" w:rsidRPr="00BB4B6E" w:rsidRDefault="00F934C1" w:rsidP="00F934C1">
      <w:r w:rsidRPr="00BB4B6E">
        <w:t>Table 4.17 shows the Langmuir and Freundlich isotherms adsorption parameters for Cd</w:t>
      </w:r>
      <w:r w:rsidRPr="00BB4B6E">
        <w:rPr>
          <w:vertAlign w:val="superscript"/>
        </w:rPr>
        <w:t>2+</w:t>
      </w:r>
      <w:r w:rsidRPr="00BB4B6E">
        <w:t xml:space="preserve"> using nano-fertilizers which was done using the batch experiment.</w:t>
      </w:r>
    </w:p>
    <w:p w:rsidR="00F934C1" w:rsidRPr="00BB4B6E" w:rsidRDefault="00F934C1" w:rsidP="00F934C1"/>
    <w:p w:rsidR="00F934C1" w:rsidRPr="00BB4B6E" w:rsidRDefault="00F934C1" w:rsidP="00F934C1">
      <w:pPr>
        <w:pStyle w:val="Heading4"/>
      </w:pPr>
      <w:bookmarkStart w:id="261" w:name="_Toc120047583"/>
      <w:bookmarkStart w:id="262" w:name="_Toc144222348"/>
      <w:r w:rsidRPr="00BB4B6E">
        <w:rPr>
          <w:color w:val="auto"/>
        </w:rPr>
        <w:t>Table 4.17: Langmuir</w:t>
      </w:r>
      <w:r w:rsidRPr="00BB4B6E">
        <w:t xml:space="preserve"> and Freundlich Cd</w:t>
      </w:r>
      <w:r w:rsidRPr="00BB4B6E">
        <w:rPr>
          <w:vertAlign w:val="superscript"/>
        </w:rPr>
        <w:t>2+</w:t>
      </w:r>
      <w:r w:rsidRPr="00BB4B6E">
        <w:t>adsorption isotherm parameter models</w:t>
      </w:r>
      <w:bookmarkEnd w:id="261"/>
      <w:bookmarkEnd w:id="262"/>
    </w:p>
    <w:tbl>
      <w:tblPr>
        <w:tblStyle w:val="TableGrid"/>
        <w:tblW w:w="84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7"/>
        <w:gridCol w:w="7"/>
        <w:gridCol w:w="756"/>
        <w:gridCol w:w="756"/>
        <w:gridCol w:w="748"/>
        <w:gridCol w:w="8"/>
        <w:gridCol w:w="756"/>
        <w:gridCol w:w="876"/>
        <w:gridCol w:w="876"/>
        <w:gridCol w:w="747"/>
        <w:gridCol w:w="9"/>
        <w:gridCol w:w="1156"/>
        <w:gridCol w:w="7"/>
      </w:tblGrid>
      <w:tr w:rsidR="00F934C1" w:rsidRPr="00BB4B6E" w:rsidTr="00F934C1">
        <w:trPr>
          <w:gridAfter w:val="1"/>
          <w:wAfter w:w="7" w:type="dxa"/>
          <w:trHeight w:val="860"/>
        </w:trPr>
        <w:tc>
          <w:tcPr>
            <w:tcW w:w="1856" w:type="dxa"/>
            <w:tcBorders>
              <w:left w:val="nil"/>
            </w:tcBorders>
            <w:shd w:val="clear" w:color="auto" w:fill="auto"/>
          </w:tcPr>
          <w:p w:rsidR="00F934C1" w:rsidRPr="00BB4B6E" w:rsidRDefault="00F934C1" w:rsidP="00F934C1">
            <w:pPr>
              <w:spacing w:line="240" w:lineRule="auto"/>
              <w:jc w:val="left"/>
            </w:pPr>
          </w:p>
        </w:tc>
        <w:tc>
          <w:tcPr>
            <w:tcW w:w="2268" w:type="dxa"/>
            <w:gridSpan w:val="4"/>
            <w:tcBorders>
              <w:top w:val="single" w:sz="4" w:space="0" w:color="auto"/>
              <w:bottom w:val="nil"/>
            </w:tcBorders>
            <w:shd w:val="clear" w:color="auto" w:fill="auto"/>
          </w:tcPr>
          <w:p w:rsidR="00F934C1" w:rsidRPr="00BB4B6E" w:rsidRDefault="00F934C1" w:rsidP="00F934C1">
            <w:pPr>
              <w:spacing w:line="240" w:lineRule="auto"/>
              <w:jc w:val="center"/>
            </w:pPr>
            <w:r w:rsidRPr="00BB4B6E">
              <w:t>Langmuir</w:t>
            </w:r>
          </w:p>
          <w:p w:rsidR="00F934C1" w:rsidRPr="00BB4B6E" w:rsidRDefault="00F934C1" w:rsidP="00F934C1">
            <w:pPr>
              <w:spacing w:line="240" w:lineRule="auto"/>
              <w:jc w:val="center"/>
            </w:pPr>
            <w:r w:rsidRPr="00BB4B6E">
              <w:t>parameters</w:t>
            </w:r>
          </w:p>
        </w:tc>
        <w:tc>
          <w:tcPr>
            <w:tcW w:w="3159" w:type="dxa"/>
            <w:gridSpan w:val="5"/>
            <w:tcBorders>
              <w:top w:val="single" w:sz="4" w:space="0" w:color="auto"/>
            </w:tcBorders>
          </w:tcPr>
          <w:p w:rsidR="00F934C1" w:rsidRPr="00BB4B6E" w:rsidRDefault="00F934C1" w:rsidP="00F934C1">
            <w:pPr>
              <w:spacing w:line="240" w:lineRule="auto"/>
              <w:jc w:val="center"/>
            </w:pPr>
            <w:r w:rsidRPr="00BB4B6E">
              <w:t>Freundlich</w:t>
            </w:r>
          </w:p>
          <w:p w:rsidR="00F934C1" w:rsidRPr="00BB4B6E" w:rsidRDefault="00F934C1" w:rsidP="00F934C1">
            <w:pPr>
              <w:autoSpaceDE/>
              <w:autoSpaceDN/>
              <w:adjustRightInd/>
              <w:jc w:val="center"/>
            </w:pPr>
            <w:r w:rsidRPr="00BB4B6E">
              <w:t>Parameters</w:t>
            </w:r>
          </w:p>
        </w:tc>
        <w:tc>
          <w:tcPr>
            <w:tcW w:w="1136" w:type="dxa"/>
            <w:gridSpan w:val="2"/>
            <w:tcBorders>
              <w:top w:val="single" w:sz="4" w:space="0" w:color="auto"/>
              <w:right w:val="nil"/>
            </w:tcBorders>
            <w:shd w:val="clear" w:color="auto" w:fill="auto"/>
          </w:tcPr>
          <w:p w:rsidR="00F934C1" w:rsidRPr="00BB4B6E" w:rsidRDefault="00F934C1" w:rsidP="00F934C1">
            <w:pPr>
              <w:autoSpaceDE/>
              <w:autoSpaceDN/>
              <w:adjustRightInd/>
              <w:spacing w:line="240" w:lineRule="auto"/>
              <w:jc w:val="center"/>
            </w:pPr>
            <w:r w:rsidRPr="00BB4B6E">
              <w:t>Best model</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237"/>
        </w:trPr>
        <w:tc>
          <w:tcPr>
            <w:tcW w:w="1863" w:type="dxa"/>
            <w:gridSpan w:val="2"/>
            <w:tcBorders>
              <w:top w:val="single" w:sz="4" w:space="0" w:color="auto"/>
              <w:left w:val="nil"/>
              <w:bottom w:val="single" w:sz="4" w:space="0" w:color="auto"/>
              <w:right w:val="single" w:sz="4" w:space="0" w:color="auto"/>
            </w:tcBorders>
          </w:tcPr>
          <w:p w:rsidR="00F934C1" w:rsidRPr="00BB4B6E" w:rsidRDefault="00F934C1" w:rsidP="00F934C1">
            <w:pPr>
              <w:spacing w:line="240" w:lineRule="auto"/>
            </w:pPr>
            <w:r w:rsidRPr="00BB4B6E">
              <w:t>ADSORBENT</w:t>
            </w:r>
          </w:p>
        </w:tc>
        <w:tc>
          <w:tcPr>
            <w:tcW w:w="810" w:type="dxa"/>
            <w:tcBorders>
              <w:top w:val="single" w:sz="4" w:space="0" w:color="auto"/>
              <w:left w:val="single" w:sz="4" w:space="0" w:color="auto"/>
              <w:bottom w:val="single" w:sz="4" w:space="0" w:color="auto"/>
              <w:right w:val="nil"/>
            </w:tcBorders>
          </w:tcPr>
          <w:p w:rsidR="00F934C1" w:rsidRPr="00BB4B6E" w:rsidRDefault="00F934C1" w:rsidP="00F934C1">
            <w:pPr>
              <w:spacing w:line="240" w:lineRule="auto"/>
            </w:pPr>
            <w:r w:rsidRPr="00BB4B6E">
              <w:t>Q</w:t>
            </w:r>
            <w:r w:rsidRPr="00BB4B6E">
              <w:rPr>
                <w:vertAlign w:val="subscript"/>
              </w:rPr>
              <w:t>max</w:t>
            </w:r>
          </w:p>
        </w:tc>
        <w:tc>
          <w:tcPr>
            <w:tcW w:w="729" w:type="dxa"/>
            <w:tcBorders>
              <w:top w:val="single" w:sz="4" w:space="0" w:color="auto"/>
              <w:left w:val="nil"/>
              <w:bottom w:val="single" w:sz="4" w:space="0" w:color="auto"/>
              <w:right w:val="nil"/>
            </w:tcBorders>
          </w:tcPr>
          <w:p w:rsidR="00F934C1" w:rsidRPr="00BB4B6E" w:rsidRDefault="00F934C1" w:rsidP="00F934C1">
            <w:pPr>
              <w:spacing w:line="240" w:lineRule="auto"/>
            </w:pPr>
            <w:r w:rsidRPr="00BB4B6E">
              <w:t>b</w:t>
            </w:r>
          </w:p>
        </w:tc>
        <w:tc>
          <w:tcPr>
            <w:tcW w:w="729" w:type="dxa"/>
            <w:gridSpan w:val="2"/>
            <w:tcBorders>
              <w:top w:val="single" w:sz="4" w:space="0" w:color="auto"/>
              <w:left w:val="nil"/>
              <w:bottom w:val="single" w:sz="4" w:space="0" w:color="auto"/>
              <w:right w:val="single" w:sz="4" w:space="0" w:color="auto"/>
            </w:tcBorders>
          </w:tcPr>
          <w:p w:rsidR="00F934C1" w:rsidRPr="00BB4B6E" w:rsidRDefault="00F934C1" w:rsidP="00F934C1">
            <w:pPr>
              <w:spacing w:line="240" w:lineRule="auto"/>
            </w:pPr>
            <w:r w:rsidRPr="00BB4B6E">
              <w:t>R</w:t>
            </w:r>
            <w:r w:rsidRPr="00BB4B6E">
              <w:rPr>
                <w:vertAlign w:val="superscript"/>
              </w:rPr>
              <w:t>2</w:t>
            </w:r>
          </w:p>
        </w:tc>
        <w:tc>
          <w:tcPr>
            <w:tcW w:w="810" w:type="dxa"/>
            <w:tcBorders>
              <w:top w:val="nil"/>
              <w:left w:val="single" w:sz="4" w:space="0" w:color="auto"/>
              <w:bottom w:val="single" w:sz="4" w:space="0" w:color="auto"/>
              <w:right w:val="nil"/>
            </w:tcBorders>
          </w:tcPr>
          <w:p w:rsidR="00F934C1" w:rsidRPr="00BB4B6E" w:rsidRDefault="00F934C1" w:rsidP="00F934C1">
            <w:pPr>
              <w:spacing w:line="240" w:lineRule="auto"/>
            </w:pPr>
            <w:r w:rsidRPr="00BB4B6E">
              <w:t>1/n</w:t>
            </w:r>
          </w:p>
        </w:tc>
        <w:tc>
          <w:tcPr>
            <w:tcW w:w="810" w:type="dxa"/>
            <w:tcBorders>
              <w:top w:val="single" w:sz="4" w:space="0" w:color="auto"/>
              <w:left w:val="nil"/>
              <w:bottom w:val="single" w:sz="4" w:space="0" w:color="auto"/>
              <w:right w:val="nil"/>
            </w:tcBorders>
          </w:tcPr>
          <w:p w:rsidR="00F934C1" w:rsidRPr="00BB4B6E" w:rsidRDefault="00F934C1" w:rsidP="00F934C1">
            <w:pPr>
              <w:spacing w:line="240" w:lineRule="auto"/>
            </w:pPr>
            <w:r w:rsidRPr="00BB4B6E">
              <w:t>n</w:t>
            </w:r>
          </w:p>
        </w:tc>
        <w:tc>
          <w:tcPr>
            <w:tcW w:w="810" w:type="dxa"/>
            <w:tcBorders>
              <w:top w:val="single" w:sz="4" w:space="0" w:color="auto"/>
              <w:left w:val="nil"/>
              <w:bottom w:val="single" w:sz="4" w:space="0" w:color="auto"/>
              <w:right w:val="nil"/>
            </w:tcBorders>
          </w:tcPr>
          <w:p w:rsidR="00F934C1" w:rsidRPr="00BB4B6E" w:rsidRDefault="00F934C1" w:rsidP="00F934C1">
            <w:pPr>
              <w:spacing w:line="240" w:lineRule="auto"/>
            </w:pPr>
            <w:r w:rsidRPr="00BB4B6E">
              <w:t>K</w:t>
            </w:r>
            <w:r w:rsidRPr="00BB4B6E">
              <w:rPr>
                <w:vertAlign w:val="subscript"/>
              </w:rPr>
              <w:t>f</w:t>
            </w:r>
          </w:p>
        </w:tc>
        <w:tc>
          <w:tcPr>
            <w:tcW w:w="729" w:type="dxa"/>
            <w:gridSpan w:val="2"/>
            <w:tcBorders>
              <w:top w:val="single" w:sz="4" w:space="0" w:color="auto"/>
              <w:left w:val="nil"/>
              <w:bottom w:val="single" w:sz="4" w:space="0" w:color="auto"/>
              <w:right w:val="single" w:sz="4" w:space="0" w:color="auto"/>
            </w:tcBorders>
          </w:tcPr>
          <w:p w:rsidR="00F934C1" w:rsidRPr="00BB4B6E" w:rsidRDefault="00F934C1" w:rsidP="00F934C1">
            <w:pPr>
              <w:spacing w:line="240" w:lineRule="auto"/>
            </w:pPr>
            <w:r w:rsidRPr="00BB4B6E">
              <w:t>R</w:t>
            </w:r>
            <w:r w:rsidRPr="00BB4B6E">
              <w:rPr>
                <w:vertAlign w:val="superscript"/>
              </w:rPr>
              <w:t>2</w:t>
            </w:r>
          </w:p>
        </w:tc>
        <w:tc>
          <w:tcPr>
            <w:tcW w:w="1136" w:type="dxa"/>
            <w:gridSpan w:val="2"/>
            <w:tcBorders>
              <w:top w:val="single" w:sz="4" w:space="0" w:color="auto"/>
              <w:left w:val="single" w:sz="4" w:space="0" w:color="auto"/>
              <w:bottom w:val="single" w:sz="4" w:space="0" w:color="auto"/>
              <w:right w:val="nil"/>
            </w:tcBorders>
          </w:tcPr>
          <w:p w:rsidR="00F934C1" w:rsidRPr="00BB4B6E" w:rsidRDefault="00F934C1" w:rsidP="00F934C1">
            <w:pPr>
              <w:spacing w:line="240" w:lineRule="auto"/>
            </w:pP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11"/>
        </w:trPr>
        <w:tc>
          <w:tcPr>
            <w:tcW w:w="1863" w:type="dxa"/>
            <w:gridSpan w:val="2"/>
            <w:tcBorders>
              <w:top w:val="single" w:sz="4" w:space="0" w:color="auto"/>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Bone nHA </w:t>
            </w:r>
          </w:p>
        </w:tc>
        <w:tc>
          <w:tcPr>
            <w:tcW w:w="810" w:type="dxa"/>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62.5</w:t>
            </w:r>
          </w:p>
        </w:tc>
        <w:tc>
          <w:tcPr>
            <w:tcW w:w="729" w:type="dxa"/>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1.778</w:t>
            </w:r>
          </w:p>
        </w:tc>
        <w:tc>
          <w:tcPr>
            <w:tcW w:w="729" w:type="dxa"/>
            <w:gridSpan w:val="2"/>
            <w:tcBorders>
              <w:top w:val="single" w:sz="4" w:space="0" w:color="auto"/>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810" w:type="dxa"/>
            <w:tcBorders>
              <w:top w:val="single" w:sz="4" w:space="0" w:color="auto"/>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0.540</w:t>
            </w:r>
          </w:p>
        </w:tc>
        <w:tc>
          <w:tcPr>
            <w:tcW w:w="810" w:type="dxa"/>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1.852</w:t>
            </w:r>
          </w:p>
        </w:tc>
        <w:tc>
          <w:tcPr>
            <w:tcW w:w="810" w:type="dxa"/>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0.1720</w:t>
            </w:r>
          </w:p>
        </w:tc>
        <w:tc>
          <w:tcPr>
            <w:tcW w:w="729" w:type="dxa"/>
            <w:gridSpan w:val="2"/>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0.940</w:t>
            </w:r>
          </w:p>
        </w:tc>
        <w:tc>
          <w:tcPr>
            <w:tcW w:w="1136" w:type="dxa"/>
            <w:gridSpan w:val="2"/>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Langmuir</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29"/>
        </w:trPr>
        <w:tc>
          <w:tcPr>
            <w:tcW w:w="1863" w:type="dxa"/>
            <w:gridSpan w:val="2"/>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Syn nHA </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43.48</w:t>
            </w:r>
          </w:p>
        </w:tc>
        <w:tc>
          <w:tcPr>
            <w:tcW w:w="72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3.830</w:t>
            </w:r>
          </w:p>
        </w:tc>
        <w:tc>
          <w:tcPr>
            <w:tcW w:w="72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 xml:space="preserve">0.996 </w:t>
            </w:r>
          </w:p>
        </w:tc>
        <w:tc>
          <w:tcPr>
            <w:tcW w:w="810"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0.539</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1.855</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0.1723</w:t>
            </w:r>
          </w:p>
        </w:tc>
        <w:tc>
          <w:tcPr>
            <w:tcW w:w="72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0.946</w:t>
            </w:r>
          </w:p>
        </w:tc>
        <w:tc>
          <w:tcPr>
            <w:tcW w:w="1136"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Langmuir</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11"/>
        </w:trPr>
        <w:tc>
          <w:tcPr>
            <w:tcW w:w="1863" w:type="dxa"/>
            <w:gridSpan w:val="2"/>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Bone nHA +DAP </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58.82</w:t>
            </w:r>
          </w:p>
        </w:tc>
        <w:tc>
          <w:tcPr>
            <w:tcW w:w="72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1.889</w:t>
            </w:r>
          </w:p>
        </w:tc>
        <w:tc>
          <w:tcPr>
            <w:tcW w:w="72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810"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0.531</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1.883</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0.1746</w:t>
            </w:r>
          </w:p>
        </w:tc>
        <w:tc>
          <w:tcPr>
            <w:tcW w:w="72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0.943</w:t>
            </w:r>
          </w:p>
        </w:tc>
        <w:tc>
          <w:tcPr>
            <w:tcW w:w="1136"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Langmuir</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11"/>
        </w:trPr>
        <w:tc>
          <w:tcPr>
            <w:tcW w:w="1863" w:type="dxa"/>
            <w:gridSpan w:val="2"/>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Syn nHA +DAP </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50.00</w:t>
            </w:r>
          </w:p>
        </w:tc>
        <w:tc>
          <w:tcPr>
            <w:tcW w:w="72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2.857</w:t>
            </w:r>
          </w:p>
        </w:tc>
        <w:tc>
          <w:tcPr>
            <w:tcW w:w="72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810"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0.512</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1.953</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0.1749</w:t>
            </w:r>
          </w:p>
        </w:tc>
        <w:tc>
          <w:tcPr>
            <w:tcW w:w="72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0.949</w:t>
            </w:r>
          </w:p>
        </w:tc>
        <w:tc>
          <w:tcPr>
            <w:tcW w:w="1136"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Langmuir</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29"/>
        </w:trPr>
        <w:tc>
          <w:tcPr>
            <w:tcW w:w="1863" w:type="dxa"/>
            <w:gridSpan w:val="2"/>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Bone nHA+ NPK  </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55.55</w:t>
            </w:r>
          </w:p>
        </w:tc>
        <w:tc>
          <w:tcPr>
            <w:tcW w:w="72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2.250</w:t>
            </w:r>
          </w:p>
        </w:tc>
        <w:tc>
          <w:tcPr>
            <w:tcW w:w="72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810"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0.534</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1.873</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0.1726</w:t>
            </w:r>
          </w:p>
        </w:tc>
        <w:tc>
          <w:tcPr>
            <w:tcW w:w="72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0.948</w:t>
            </w:r>
          </w:p>
        </w:tc>
        <w:tc>
          <w:tcPr>
            <w:tcW w:w="1136"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Langmuir</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11"/>
        </w:trPr>
        <w:tc>
          <w:tcPr>
            <w:tcW w:w="1863" w:type="dxa"/>
            <w:gridSpan w:val="2"/>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Syn nHA+ NPK  </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50.00</w:t>
            </w:r>
          </w:p>
        </w:tc>
        <w:tc>
          <w:tcPr>
            <w:tcW w:w="72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2.860</w:t>
            </w:r>
          </w:p>
        </w:tc>
        <w:tc>
          <w:tcPr>
            <w:tcW w:w="72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810"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0.508</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1.967</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0.1752</w:t>
            </w:r>
          </w:p>
        </w:tc>
        <w:tc>
          <w:tcPr>
            <w:tcW w:w="72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0.941</w:t>
            </w:r>
          </w:p>
        </w:tc>
        <w:tc>
          <w:tcPr>
            <w:tcW w:w="1136"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Langmuir</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712"/>
        </w:trPr>
        <w:tc>
          <w:tcPr>
            <w:tcW w:w="1863" w:type="dxa"/>
            <w:gridSpan w:val="2"/>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Bone nHA+DAP+NPK </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52.63</w:t>
            </w:r>
          </w:p>
        </w:tc>
        <w:tc>
          <w:tcPr>
            <w:tcW w:w="72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2.111</w:t>
            </w:r>
          </w:p>
        </w:tc>
        <w:tc>
          <w:tcPr>
            <w:tcW w:w="72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0.991</w:t>
            </w:r>
          </w:p>
        </w:tc>
        <w:tc>
          <w:tcPr>
            <w:tcW w:w="810"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0.657</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1.5221</w:t>
            </w:r>
          </w:p>
        </w:tc>
        <w:tc>
          <w:tcPr>
            <w:tcW w:w="810"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0.1652</w:t>
            </w:r>
          </w:p>
        </w:tc>
        <w:tc>
          <w:tcPr>
            <w:tcW w:w="72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0.948</w:t>
            </w:r>
          </w:p>
        </w:tc>
        <w:tc>
          <w:tcPr>
            <w:tcW w:w="1136"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 xml:space="preserve">Langmuir </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693"/>
        </w:trPr>
        <w:tc>
          <w:tcPr>
            <w:tcW w:w="1863" w:type="dxa"/>
            <w:gridSpan w:val="2"/>
            <w:tcBorders>
              <w:top w:val="nil"/>
              <w:left w:val="nil"/>
              <w:bottom w:val="single" w:sz="4" w:space="0" w:color="auto"/>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Syn nHA+DAP+NPK </w:t>
            </w:r>
          </w:p>
        </w:tc>
        <w:tc>
          <w:tcPr>
            <w:tcW w:w="810" w:type="dxa"/>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45.45</w:t>
            </w:r>
          </w:p>
        </w:tc>
        <w:tc>
          <w:tcPr>
            <w:tcW w:w="729" w:type="dxa"/>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3.667</w:t>
            </w:r>
          </w:p>
        </w:tc>
        <w:tc>
          <w:tcPr>
            <w:tcW w:w="729" w:type="dxa"/>
            <w:gridSpan w:val="2"/>
            <w:tcBorders>
              <w:top w:val="nil"/>
              <w:left w:val="nil"/>
              <w:bottom w:val="single" w:sz="4" w:space="0" w:color="auto"/>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0.991</w:t>
            </w:r>
          </w:p>
        </w:tc>
        <w:tc>
          <w:tcPr>
            <w:tcW w:w="810" w:type="dxa"/>
            <w:tcBorders>
              <w:top w:val="nil"/>
              <w:left w:val="single" w:sz="4" w:space="0" w:color="auto"/>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0.506</w:t>
            </w:r>
          </w:p>
        </w:tc>
        <w:tc>
          <w:tcPr>
            <w:tcW w:w="810" w:type="dxa"/>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1.976</w:t>
            </w:r>
          </w:p>
        </w:tc>
        <w:tc>
          <w:tcPr>
            <w:tcW w:w="810" w:type="dxa"/>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0.1746</w:t>
            </w:r>
          </w:p>
        </w:tc>
        <w:tc>
          <w:tcPr>
            <w:tcW w:w="729" w:type="dxa"/>
            <w:gridSpan w:val="2"/>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0.944</w:t>
            </w:r>
          </w:p>
        </w:tc>
        <w:tc>
          <w:tcPr>
            <w:tcW w:w="1136" w:type="dxa"/>
            <w:gridSpan w:val="2"/>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Langmuir</w:t>
            </w:r>
          </w:p>
        </w:tc>
      </w:tr>
    </w:tbl>
    <w:p w:rsidR="00F934C1" w:rsidRPr="00BB4B6E" w:rsidRDefault="00F934C1" w:rsidP="00F934C1">
      <w:pPr>
        <w:rPr>
          <w:color w:val="000000" w:themeColor="text1"/>
        </w:rPr>
      </w:pPr>
    </w:p>
    <w:p w:rsidR="00F934C1" w:rsidRPr="00BB4B6E" w:rsidRDefault="00F934C1" w:rsidP="00F934C1">
      <w:pPr>
        <w:rPr>
          <w:color w:val="000000" w:themeColor="text1"/>
        </w:rPr>
      </w:pPr>
      <w:r w:rsidRPr="00BB4B6E">
        <w:rPr>
          <w:color w:val="000000" w:themeColor="text1"/>
        </w:rPr>
        <w:t>Results for Langmuir isotherms indicate that there was correlation in Cd adsorption because R</w:t>
      </w:r>
      <w:r w:rsidRPr="00BB4B6E">
        <w:rPr>
          <w:color w:val="000000" w:themeColor="text1"/>
          <w:vertAlign w:val="superscript"/>
        </w:rPr>
        <w:t xml:space="preserve">2 </w:t>
      </w:r>
      <w:r w:rsidRPr="00BB4B6E">
        <w:rPr>
          <w:color w:val="000000" w:themeColor="text1"/>
        </w:rPr>
        <w:t>&gt; 0.996 except for</w:t>
      </w:r>
      <w:r>
        <w:rPr>
          <w:color w:val="000000" w:themeColor="text1"/>
        </w:rPr>
        <w:t xml:space="preserve"> </w:t>
      </w:r>
      <w:r w:rsidRPr="00BB4B6E">
        <w:t>bone nHA+DAP+NPK</w:t>
      </w:r>
      <w:r w:rsidRPr="00BB4B6E">
        <w:rPr>
          <w:color w:val="000000" w:themeColor="text1"/>
        </w:rPr>
        <w:t xml:space="preserve"> while in Freundlich isotherms had no correlation because R</w:t>
      </w:r>
      <w:r w:rsidRPr="00BB4B6E">
        <w:rPr>
          <w:color w:val="000000" w:themeColor="text1"/>
          <w:vertAlign w:val="superscript"/>
        </w:rPr>
        <w:t xml:space="preserve">2 </w:t>
      </w:r>
      <w:r w:rsidRPr="00BB4B6E">
        <w:rPr>
          <w:color w:val="000000" w:themeColor="text1"/>
        </w:rPr>
        <w:t>˂ 0.95. The results show that the adsorption of Cd</w:t>
      </w:r>
      <w:r w:rsidRPr="00BB4B6E">
        <w:rPr>
          <w:color w:val="000000" w:themeColor="text1"/>
          <w:vertAlign w:val="superscript"/>
        </w:rPr>
        <w:t>2+</w:t>
      </w:r>
      <w:r w:rsidRPr="00BB4B6E">
        <w:rPr>
          <w:color w:val="000000" w:themeColor="text1"/>
        </w:rPr>
        <w:t>onto bone and synthetic nano-fertilizers, for nDAP, nNPK, nDAP-NPK fitted very well in Langmuir isotherm model. Adsorption capacities for the bone nano-</w:t>
      </w:r>
      <w:r w:rsidRPr="00BB4B6E">
        <w:rPr>
          <w:color w:val="000000" w:themeColor="text1"/>
        </w:rPr>
        <w:lastRenderedPageBreak/>
        <w:t xml:space="preserve">fertilizers adsorbents were higher than those of the synthetic nano-fertilizer adsorbents. This explains why bone nanofertilizers have a higher efficacy in reducing Cd uptake in study plants. The ‘b’ values were higher in synthetic nHA with 3.83 while the bone nHA had lower ‘b’ value of 2.857. Therefore their affinity to adsorption sites and measure of absorptive energy needed, which was lower for bone made nano-fertilizers than synthetic counter parts, hence making adsorption to it more favorable (Montazeri </w:t>
      </w:r>
      <w:r w:rsidRPr="00BB4B6E">
        <w:rPr>
          <w:i/>
          <w:color w:val="000000" w:themeColor="text1"/>
        </w:rPr>
        <w:t>et al</w:t>
      </w:r>
      <w:r w:rsidRPr="00BB4B6E">
        <w:rPr>
          <w:color w:val="000000" w:themeColor="text1"/>
        </w:rPr>
        <w:t>., 2010). This indicates that the bone nano-fertilizers have higher ability to adsorb and immobilize Cd</w:t>
      </w:r>
      <w:r w:rsidRPr="00BB4B6E">
        <w:rPr>
          <w:color w:val="000000" w:themeColor="text1"/>
          <w:vertAlign w:val="superscript"/>
        </w:rPr>
        <w:t>2+</w:t>
      </w:r>
      <w:r w:rsidRPr="00BB4B6E">
        <w:rPr>
          <w:color w:val="000000" w:themeColor="text1"/>
        </w:rPr>
        <w:t xml:space="preserve"> thereby reducing its uptake in kale, spinach and bean plants. The Q</w:t>
      </w:r>
      <w:r w:rsidRPr="00BB4B6E">
        <w:rPr>
          <w:color w:val="000000" w:themeColor="text1"/>
          <w:vertAlign w:val="subscript"/>
        </w:rPr>
        <w:t>max</w:t>
      </w:r>
      <w:r w:rsidRPr="00BB4B6E">
        <w:rPr>
          <w:color w:val="000000" w:themeColor="text1"/>
        </w:rPr>
        <w:t xml:space="preserve"> parameter indicates the bone made nano-fertilizers have higher capacity to adsorb and immobilize cadmium as compared to synthetic nano-fertilizers. For instance synthetic nHA had Q</w:t>
      </w:r>
      <w:r w:rsidRPr="00BB4B6E">
        <w:rPr>
          <w:color w:val="000000" w:themeColor="text1"/>
          <w:vertAlign w:val="subscript"/>
        </w:rPr>
        <w:t>max</w:t>
      </w:r>
      <w:r w:rsidRPr="00BB4B6E">
        <w:rPr>
          <w:color w:val="000000" w:themeColor="text1"/>
        </w:rPr>
        <w:t xml:space="preserve"> value of 43.48 mg g</w:t>
      </w:r>
      <w:r w:rsidRPr="00BB4B6E">
        <w:rPr>
          <w:color w:val="000000" w:themeColor="text1"/>
          <w:vertAlign w:val="superscript"/>
        </w:rPr>
        <w:t>-1</w:t>
      </w:r>
      <w:r w:rsidRPr="00BB4B6E">
        <w:rPr>
          <w:color w:val="000000" w:themeColor="text1"/>
        </w:rPr>
        <w:t xml:space="preserve"> while bone nHA had Q</w:t>
      </w:r>
      <w:r w:rsidRPr="00BB4B6E">
        <w:rPr>
          <w:color w:val="000000" w:themeColor="text1"/>
          <w:vertAlign w:val="subscript"/>
        </w:rPr>
        <w:t>max</w:t>
      </w:r>
      <w:r w:rsidRPr="00BB4B6E">
        <w:rPr>
          <w:color w:val="000000" w:themeColor="text1"/>
        </w:rPr>
        <w:t xml:space="preserve"> value for Cd</w:t>
      </w:r>
      <w:r w:rsidRPr="00BB4B6E">
        <w:rPr>
          <w:color w:val="000000" w:themeColor="text1"/>
          <w:vertAlign w:val="superscript"/>
        </w:rPr>
        <w:t>2+</w:t>
      </w:r>
      <w:r w:rsidRPr="00BB4B6E">
        <w:rPr>
          <w:color w:val="000000" w:themeColor="text1"/>
        </w:rPr>
        <w:t xml:space="preserve"> adsorption of 62.25 mg g</w:t>
      </w:r>
      <w:r w:rsidRPr="00BB4B6E">
        <w:rPr>
          <w:color w:val="000000" w:themeColor="text1"/>
          <w:vertAlign w:val="superscript"/>
        </w:rPr>
        <w:t>-1</w:t>
      </w:r>
      <w:r w:rsidRPr="00BB4B6E">
        <w:rPr>
          <w:color w:val="000000" w:themeColor="text1"/>
        </w:rPr>
        <w:t xml:space="preserve">. </w:t>
      </w:r>
    </w:p>
    <w:p w:rsidR="00F934C1" w:rsidRPr="00BB4B6E" w:rsidRDefault="00F934C1" w:rsidP="00F934C1"/>
    <w:p w:rsidR="00F934C1" w:rsidRPr="00BB4B6E" w:rsidRDefault="00F934C1" w:rsidP="00F934C1">
      <w:pPr>
        <w:pStyle w:val="Heading3"/>
        <w:spacing w:before="0"/>
        <w:rPr>
          <w:rFonts w:cs="Times New Roman"/>
        </w:rPr>
      </w:pPr>
      <w:bookmarkStart w:id="263" w:name="_Toc144820072"/>
      <w:r w:rsidRPr="00BB4B6E">
        <w:rPr>
          <w:rFonts w:cs="Times New Roman"/>
        </w:rPr>
        <w:t>4.8.2 Adsorption Isotherms Fitting for Lead</w:t>
      </w:r>
      <w:bookmarkEnd w:id="263"/>
    </w:p>
    <w:p w:rsidR="00F934C1" w:rsidRPr="00BB4B6E" w:rsidRDefault="00F934C1" w:rsidP="00F934C1">
      <w:r w:rsidRPr="00BB4B6E">
        <w:t>Table 4.18 shows the Langmuir and Freundlich isotherms adsorption parameters for Pb</w:t>
      </w:r>
      <w:r w:rsidRPr="00BB4B6E">
        <w:rPr>
          <w:vertAlign w:val="superscript"/>
        </w:rPr>
        <w:t>2+</w:t>
      </w:r>
      <w:r w:rsidRPr="00BB4B6E">
        <w:t xml:space="preserve"> using nano-fertilizers which was done using the batch experiment.</w:t>
      </w:r>
    </w:p>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Pr>
        <w:autoSpaceDE/>
        <w:autoSpaceDN/>
        <w:adjustRightInd/>
        <w:spacing w:after="200" w:line="276" w:lineRule="auto"/>
        <w:jc w:val="left"/>
      </w:pPr>
      <w:r w:rsidRPr="00BB4B6E">
        <w:br w:type="page"/>
      </w:r>
    </w:p>
    <w:p w:rsidR="00F934C1" w:rsidRPr="00BB4B6E" w:rsidRDefault="00F934C1" w:rsidP="00F934C1">
      <w:pPr>
        <w:pStyle w:val="Heading4"/>
        <w:rPr>
          <w:vertAlign w:val="superscript"/>
        </w:rPr>
      </w:pPr>
      <w:bookmarkStart w:id="264" w:name="_Toc120047584"/>
      <w:bookmarkStart w:id="265" w:name="_Toc144222349"/>
      <w:r w:rsidRPr="00BB4B6E">
        <w:rPr>
          <w:color w:val="auto"/>
        </w:rPr>
        <w:lastRenderedPageBreak/>
        <w:t>Table 4.18:</w:t>
      </w:r>
      <w:r w:rsidRPr="00BB4B6E">
        <w:t xml:space="preserve"> Results of Langmuir and Freundlich adsorption isotherm parameter model for Pb</w:t>
      </w:r>
      <w:r w:rsidRPr="00BB4B6E">
        <w:rPr>
          <w:vertAlign w:val="superscript"/>
        </w:rPr>
        <w:t>2+</w:t>
      </w:r>
      <w:bookmarkEnd w:id="264"/>
      <w:bookmarkEnd w:id="265"/>
    </w:p>
    <w:tbl>
      <w:tblPr>
        <w:tblStyle w:val="TableGrid"/>
        <w:tblW w:w="84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4"/>
        <w:gridCol w:w="756"/>
        <w:gridCol w:w="756"/>
        <w:gridCol w:w="748"/>
        <w:gridCol w:w="8"/>
        <w:gridCol w:w="756"/>
        <w:gridCol w:w="876"/>
        <w:gridCol w:w="876"/>
        <w:gridCol w:w="748"/>
        <w:gridCol w:w="8"/>
        <w:gridCol w:w="1248"/>
        <w:gridCol w:w="8"/>
      </w:tblGrid>
      <w:tr w:rsidR="00F934C1" w:rsidRPr="00BB4B6E" w:rsidTr="00F934C1">
        <w:trPr>
          <w:gridAfter w:val="1"/>
          <w:wAfter w:w="7" w:type="dxa"/>
          <w:trHeight w:val="951"/>
        </w:trPr>
        <w:tc>
          <w:tcPr>
            <w:tcW w:w="270" w:type="dxa"/>
            <w:tcBorders>
              <w:left w:val="nil"/>
            </w:tcBorders>
            <w:shd w:val="clear" w:color="auto" w:fill="auto"/>
          </w:tcPr>
          <w:p w:rsidR="00F934C1" w:rsidRPr="00BB4B6E" w:rsidRDefault="00F934C1" w:rsidP="00F934C1">
            <w:pPr>
              <w:spacing w:line="240" w:lineRule="auto"/>
              <w:jc w:val="left"/>
            </w:pPr>
          </w:p>
        </w:tc>
        <w:tc>
          <w:tcPr>
            <w:tcW w:w="3837" w:type="dxa"/>
            <w:gridSpan w:val="3"/>
            <w:tcBorders>
              <w:top w:val="single" w:sz="4" w:space="0" w:color="auto"/>
              <w:bottom w:val="nil"/>
            </w:tcBorders>
            <w:shd w:val="clear" w:color="auto" w:fill="auto"/>
          </w:tcPr>
          <w:p w:rsidR="00F934C1" w:rsidRPr="00BB4B6E" w:rsidRDefault="00F934C1" w:rsidP="00F934C1">
            <w:pPr>
              <w:spacing w:line="240" w:lineRule="auto"/>
              <w:jc w:val="center"/>
            </w:pPr>
            <w:r w:rsidRPr="00BB4B6E">
              <w:t>Langmuir</w:t>
            </w:r>
          </w:p>
          <w:p w:rsidR="00F934C1" w:rsidRPr="00BB4B6E" w:rsidRDefault="00F934C1" w:rsidP="00F934C1">
            <w:pPr>
              <w:spacing w:line="240" w:lineRule="auto"/>
              <w:jc w:val="center"/>
            </w:pPr>
            <w:r w:rsidRPr="00BB4B6E">
              <w:t>parameters</w:t>
            </w:r>
          </w:p>
        </w:tc>
        <w:tc>
          <w:tcPr>
            <w:tcW w:w="3122" w:type="dxa"/>
            <w:gridSpan w:val="5"/>
            <w:tcBorders>
              <w:top w:val="single" w:sz="4" w:space="0" w:color="auto"/>
            </w:tcBorders>
          </w:tcPr>
          <w:p w:rsidR="00F934C1" w:rsidRPr="00BB4B6E" w:rsidRDefault="00F934C1" w:rsidP="00F934C1">
            <w:pPr>
              <w:spacing w:line="240" w:lineRule="auto"/>
              <w:jc w:val="center"/>
            </w:pPr>
            <w:r w:rsidRPr="00BB4B6E">
              <w:t>Freundlich</w:t>
            </w:r>
          </w:p>
          <w:p w:rsidR="00F934C1" w:rsidRPr="00BB4B6E" w:rsidRDefault="00F934C1" w:rsidP="00F934C1">
            <w:pPr>
              <w:autoSpaceDE/>
              <w:autoSpaceDN/>
              <w:adjustRightInd/>
              <w:jc w:val="center"/>
            </w:pPr>
            <w:r w:rsidRPr="00BB4B6E">
              <w:t>Parameters</w:t>
            </w:r>
          </w:p>
        </w:tc>
        <w:tc>
          <w:tcPr>
            <w:tcW w:w="1169" w:type="dxa"/>
            <w:gridSpan w:val="2"/>
            <w:tcBorders>
              <w:top w:val="single" w:sz="4" w:space="0" w:color="auto"/>
              <w:right w:val="nil"/>
            </w:tcBorders>
            <w:shd w:val="clear" w:color="auto" w:fill="auto"/>
          </w:tcPr>
          <w:p w:rsidR="00F934C1" w:rsidRPr="00BB4B6E" w:rsidRDefault="00F934C1" w:rsidP="00F934C1">
            <w:pPr>
              <w:autoSpaceDE/>
              <w:autoSpaceDN/>
              <w:adjustRightInd/>
              <w:spacing w:line="240" w:lineRule="auto"/>
              <w:jc w:val="center"/>
            </w:pPr>
            <w:r w:rsidRPr="00BB4B6E">
              <w:t>Best model</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262"/>
        </w:trPr>
        <w:tc>
          <w:tcPr>
            <w:tcW w:w="270" w:type="dxa"/>
            <w:tcBorders>
              <w:top w:val="single" w:sz="4" w:space="0" w:color="auto"/>
              <w:left w:val="nil"/>
              <w:bottom w:val="single" w:sz="4" w:space="0" w:color="auto"/>
              <w:right w:val="single" w:sz="4" w:space="0" w:color="auto"/>
            </w:tcBorders>
          </w:tcPr>
          <w:p w:rsidR="00F934C1" w:rsidRPr="00BB4B6E" w:rsidRDefault="00F934C1" w:rsidP="00F934C1">
            <w:pPr>
              <w:spacing w:line="240" w:lineRule="auto"/>
            </w:pPr>
            <w:r w:rsidRPr="00BB4B6E">
              <w:t>ADSORBENT</w:t>
            </w:r>
          </w:p>
        </w:tc>
        <w:tc>
          <w:tcPr>
            <w:tcW w:w="2405" w:type="dxa"/>
            <w:tcBorders>
              <w:top w:val="single" w:sz="4" w:space="0" w:color="auto"/>
              <w:left w:val="single" w:sz="4" w:space="0" w:color="auto"/>
              <w:bottom w:val="single" w:sz="4" w:space="0" w:color="auto"/>
              <w:right w:val="nil"/>
            </w:tcBorders>
          </w:tcPr>
          <w:p w:rsidR="00F934C1" w:rsidRPr="00BB4B6E" w:rsidRDefault="00F934C1" w:rsidP="00F934C1">
            <w:pPr>
              <w:spacing w:line="240" w:lineRule="auto"/>
            </w:pPr>
            <w:r w:rsidRPr="00BB4B6E">
              <w:t>Q</w:t>
            </w:r>
            <w:r w:rsidRPr="00BB4B6E">
              <w:rPr>
                <w:vertAlign w:val="subscript"/>
              </w:rPr>
              <w:t>max</w:t>
            </w:r>
          </w:p>
        </w:tc>
        <w:tc>
          <w:tcPr>
            <w:tcW w:w="719" w:type="dxa"/>
            <w:tcBorders>
              <w:top w:val="single" w:sz="4" w:space="0" w:color="auto"/>
              <w:left w:val="nil"/>
              <w:bottom w:val="single" w:sz="4" w:space="0" w:color="auto"/>
              <w:right w:val="nil"/>
            </w:tcBorders>
          </w:tcPr>
          <w:p w:rsidR="00F934C1" w:rsidRPr="00BB4B6E" w:rsidRDefault="00F934C1" w:rsidP="00F934C1">
            <w:pPr>
              <w:spacing w:line="240" w:lineRule="auto"/>
            </w:pPr>
            <w:r w:rsidRPr="00BB4B6E">
              <w:t>b</w:t>
            </w:r>
          </w:p>
        </w:tc>
        <w:tc>
          <w:tcPr>
            <w:tcW w:w="719" w:type="dxa"/>
            <w:gridSpan w:val="2"/>
            <w:tcBorders>
              <w:top w:val="single" w:sz="4" w:space="0" w:color="auto"/>
              <w:left w:val="nil"/>
              <w:bottom w:val="single" w:sz="4" w:space="0" w:color="auto"/>
              <w:right w:val="single" w:sz="4" w:space="0" w:color="auto"/>
            </w:tcBorders>
          </w:tcPr>
          <w:p w:rsidR="00F934C1" w:rsidRPr="00BB4B6E" w:rsidRDefault="00F934C1" w:rsidP="00F934C1">
            <w:pPr>
              <w:spacing w:line="240" w:lineRule="auto"/>
            </w:pPr>
            <w:r w:rsidRPr="00BB4B6E">
              <w:t>R</w:t>
            </w:r>
            <w:r w:rsidRPr="00BB4B6E">
              <w:rPr>
                <w:vertAlign w:val="superscript"/>
              </w:rPr>
              <w:t>2</w:t>
            </w:r>
          </w:p>
        </w:tc>
        <w:tc>
          <w:tcPr>
            <w:tcW w:w="761" w:type="dxa"/>
            <w:tcBorders>
              <w:top w:val="nil"/>
              <w:left w:val="single" w:sz="4" w:space="0" w:color="auto"/>
              <w:bottom w:val="single" w:sz="4" w:space="0" w:color="auto"/>
              <w:right w:val="nil"/>
            </w:tcBorders>
          </w:tcPr>
          <w:p w:rsidR="00F934C1" w:rsidRPr="00BB4B6E" w:rsidRDefault="00F934C1" w:rsidP="00F934C1">
            <w:pPr>
              <w:spacing w:line="240" w:lineRule="auto"/>
            </w:pPr>
            <w:r w:rsidRPr="00BB4B6E">
              <w:t>1/n</w:t>
            </w:r>
          </w:p>
        </w:tc>
        <w:tc>
          <w:tcPr>
            <w:tcW w:w="821" w:type="dxa"/>
            <w:tcBorders>
              <w:top w:val="single" w:sz="4" w:space="0" w:color="auto"/>
              <w:left w:val="nil"/>
              <w:bottom w:val="single" w:sz="4" w:space="0" w:color="auto"/>
              <w:right w:val="nil"/>
            </w:tcBorders>
          </w:tcPr>
          <w:p w:rsidR="00F934C1" w:rsidRPr="00BB4B6E" w:rsidRDefault="00F934C1" w:rsidP="00F934C1">
            <w:pPr>
              <w:spacing w:line="240" w:lineRule="auto"/>
            </w:pPr>
            <w:r w:rsidRPr="00BB4B6E">
              <w:t>N</w:t>
            </w:r>
          </w:p>
        </w:tc>
        <w:tc>
          <w:tcPr>
            <w:tcW w:w="821" w:type="dxa"/>
            <w:tcBorders>
              <w:top w:val="single" w:sz="4" w:space="0" w:color="auto"/>
              <w:left w:val="nil"/>
              <w:bottom w:val="single" w:sz="4" w:space="0" w:color="auto"/>
              <w:right w:val="nil"/>
            </w:tcBorders>
          </w:tcPr>
          <w:p w:rsidR="00F934C1" w:rsidRPr="00BB4B6E" w:rsidRDefault="00F934C1" w:rsidP="00F934C1">
            <w:pPr>
              <w:spacing w:line="240" w:lineRule="auto"/>
            </w:pPr>
            <w:r w:rsidRPr="00BB4B6E">
              <w:t>K</w:t>
            </w:r>
            <w:r w:rsidRPr="00BB4B6E">
              <w:rPr>
                <w:vertAlign w:val="subscript"/>
              </w:rPr>
              <w:t>f</w:t>
            </w:r>
          </w:p>
        </w:tc>
        <w:tc>
          <w:tcPr>
            <w:tcW w:w="719" w:type="dxa"/>
            <w:gridSpan w:val="2"/>
            <w:tcBorders>
              <w:top w:val="single" w:sz="4" w:space="0" w:color="auto"/>
              <w:left w:val="nil"/>
              <w:bottom w:val="single" w:sz="4" w:space="0" w:color="auto"/>
              <w:right w:val="single" w:sz="4" w:space="0" w:color="auto"/>
            </w:tcBorders>
          </w:tcPr>
          <w:p w:rsidR="00F934C1" w:rsidRPr="00BB4B6E" w:rsidRDefault="00F934C1" w:rsidP="00F934C1">
            <w:pPr>
              <w:spacing w:line="240" w:lineRule="auto"/>
            </w:pPr>
            <w:r w:rsidRPr="00BB4B6E">
              <w:t>R</w:t>
            </w:r>
            <w:r w:rsidRPr="00BB4B6E">
              <w:rPr>
                <w:vertAlign w:val="superscript"/>
              </w:rPr>
              <w:t>2</w:t>
            </w:r>
          </w:p>
        </w:tc>
        <w:tc>
          <w:tcPr>
            <w:tcW w:w="1170" w:type="dxa"/>
            <w:gridSpan w:val="2"/>
            <w:tcBorders>
              <w:top w:val="single" w:sz="4" w:space="0" w:color="auto"/>
              <w:left w:val="single" w:sz="4" w:space="0" w:color="auto"/>
              <w:bottom w:val="single" w:sz="4" w:space="0" w:color="auto"/>
              <w:right w:val="nil"/>
            </w:tcBorders>
          </w:tcPr>
          <w:p w:rsidR="00F934C1" w:rsidRPr="00BB4B6E" w:rsidRDefault="00F934C1" w:rsidP="00F934C1">
            <w:pPr>
              <w:spacing w:line="240" w:lineRule="auto"/>
            </w:pP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24"/>
        </w:trPr>
        <w:tc>
          <w:tcPr>
            <w:tcW w:w="270" w:type="dxa"/>
            <w:tcBorders>
              <w:top w:val="single" w:sz="4" w:space="0" w:color="auto"/>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Bone nHA </w:t>
            </w:r>
          </w:p>
        </w:tc>
        <w:tc>
          <w:tcPr>
            <w:tcW w:w="2405" w:type="dxa"/>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rPr>
                <w:color w:val="000000" w:themeColor="text1"/>
              </w:rPr>
            </w:pPr>
            <w:r w:rsidRPr="00BB4B6E">
              <w:rPr>
                <w:color w:val="000000" w:themeColor="text1"/>
                <w:kern w:val="24"/>
              </w:rPr>
              <w:t>55.55</w:t>
            </w:r>
          </w:p>
        </w:tc>
        <w:tc>
          <w:tcPr>
            <w:tcW w:w="719" w:type="dxa"/>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2.250</w:t>
            </w:r>
          </w:p>
        </w:tc>
        <w:tc>
          <w:tcPr>
            <w:tcW w:w="719" w:type="dxa"/>
            <w:gridSpan w:val="2"/>
            <w:tcBorders>
              <w:top w:val="single" w:sz="4" w:space="0" w:color="auto"/>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0.944</w:t>
            </w:r>
          </w:p>
        </w:tc>
        <w:tc>
          <w:tcPr>
            <w:tcW w:w="761" w:type="dxa"/>
            <w:tcBorders>
              <w:top w:val="single" w:sz="4" w:space="0" w:color="auto"/>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0.680</w:t>
            </w:r>
          </w:p>
        </w:tc>
        <w:tc>
          <w:tcPr>
            <w:tcW w:w="821" w:type="dxa"/>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1.4706</w:t>
            </w:r>
          </w:p>
        </w:tc>
        <w:tc>
          <w:tcPr>
            <w:tcW w:w="821" w:type="dxa"/>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0.1889</w:t>
            </w:r>
          </w:p>
        </w:tc>
        <w:tc>
          <w:tcPr>
            <w:tcW w:w="719" w:type="dxa"/>
            <w:gridSpan w:val="2"/>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1170" w:type="dxa"/>
            <w:gridSpan w:val="2"/>
            <w:tcBorders>
              <w:top w:val="single" w:sz="4" w:space="0" w:color="auto"/>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 xml:space="preserve">Freundlich </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24"/>
        </w:trPr>
        <w:tc>
          <w:tcPr>
            <w:tcW w:w="270" w:type="dxa"/>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Syn nHA </w:t>
            </w:r>
          </w:p>
        </w:tc>
        <w:tc>
          <w:tcPr>
            <w:tcW w:w="2405"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rPr>
                <w:color w:val="000000" w:themeColor="text1"/>
              </w:rPr>
            </w:pPr>
            <w:r w:rsidRPr="00BB4B6E">
              <w:rPr>
                <w:color w:val="000000" w:themeColor="text1"/>
                <w:kern w:val="24"/>
              </w:rPr>
              <w:t>43.47</w:t>
            </w:r>
          </w:p>
        </w:tc>
        <w:tc>
          <w:tcPr>
            <w:tcW w:w="71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3.840</w:t>
            </w:r>
          </w:p>
        </w:tc>
        <w:tc>
          <w:tcPr>
            <w:tcW w:w="71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0.949</w:t>
            </w:r>
          </w:p>
        </w:tc>
        <w:tc>
          <w:tcPr>
            <w:tcW w:w="761"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0.836</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1.1962</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0.1623</w:t>
            </w:r>
          </w:p>
        </w:tc>
        <w:tc>
          <w:tcPr>
            <w:tcW w:w="71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0.996</w:t>
            </w:r>
          </w:p>
        </w:tc>
        <w:tc>
          <w:tcPr>
            <w:tcW w:w="1170"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 xml:space="preserve">Freundlich </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24"/>
        </w:trPr>
        <w:tc>
          <w:tcPr>
            <w:tcW w:w="270" w:type="dxa"/>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Bone nHA +DAP </w:t>
            </w:r>
          </w:p>
        </w:tc>
        <w:tc>
          <w:tcPr>
            <w:tcW w:w="2405"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58.83</w:t>
            </w:r>
          </w:p>
        </w:tc>
        <w:tc>
          <w:tcPr>
            <w:tcW w:w="71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1.888</w:t>
            </w:r>
          </w:p>
        </w:tc>
        <w:tc>
          <w:tcPr>
            <w:tcW w:w="71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0.942</w:t>
            </w:r>
          </w:p>
        </w:tc>
        <w:tc>
          <w:tcPr>
            <w:tcW w:w="761"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0.667</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1.4993</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0.1682</w:t>
            </w:r>
          </w:p>
        </w:tc>
        <w:tc>
          <w:tcPr>
            <w:tcW w:w="71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1170"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 xml:space="preserve">Freundlich </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24"/>
        </w:trPr>
        <w:tc>
          <w:tcPr>
            <w:tcW w:w="270" w:type="dxa"/>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Syn nHA +DAP </w:t>
            </w:r>
          </w:p>
        </w:tc>
        <w:tc>
          <w:tcPr>
            <w:tcW w:w="2405"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50.00</w:t>
            </w:r>
          </w:p>
        </w:tc>
        <w:tc>
          <w:tcPr>
            <w:tcW w:w="71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2.857</w:t>
            </w:r>
          </w:p>
        </w:tc>
        <w:tc>
          <w:tcPr>
            <w:tcW w:w="71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0.941</w:t>
            </w:r>
          </w:p>
        </w:tc>
        <w:tc>
          <w:tcPr>
            <w:tcW w:w="761"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0.606</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1.6500</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0.1610</w:t>
            </w:r>
          </w:p>
        </w:tc>
        <w:tc>
          <w:tcPr>
            <w:tcW w:w="71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0.998</w:t>
            </w:r>
          </w:p>
        </w:tc>
        <w:tc>
          <w:tcPr>
            <w:tcW w:w="1170"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 xml:space="preserve">Freundlich </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24"/>
        </w:trPr>
        <w:tc>
          <w:tcPr>
            <w:tcW w:w="270" w:type="dxa"/>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Bone nHA+ NPK  </w:t>
            </w:r>
          </w:p>
        </w:tc>
        <w:tc>
          <w:tcPr>
            <w:tcW w:w="2405"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55.56</w:t>
            </w:r>
          </w:p>
        </w:tc>
        <w:tc>
          <w:tcPr>
            <w:tcW w:w="71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2.249</w:t>
            </w:r>
          </w:p>
        </w:tc>
        <w:tc>
          <w:tcPr>
            <w:tcW w:w="71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0.943</w:t>
            </w:r>
          </w:p>
        </w:tc>
        <w:tc>
          <w:tcPr>
            <w:tcW w:w="761"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0.619</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1.6155</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0.1652</w:t>
            </w:r>
          </w:p>
        </w:tc>
        <w:tc>
          <w:tcPr>
            <w:tcW w:w="71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1170"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 xml:space="preserve">Freundlich </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24"/>
        </w:trPr>
        <w:tc>
          <w:tcPr>
            <w:tcW w:w="270" w:type="dxa"/>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Syn nHA+ NPK  </w:t>
            </w:r>
          </w:p>
        </w:tc>
        <w:tc>
          <w:tcPr>
            <w:tcW w:w="2405"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52.63</w:t>
            </w:r>
          </w:p>
        </w:tc>
        <w:tc>
          <w:tcPr>
            <w:tcW w:w="71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2.111</w:t>
            </w:r>
          </w:p>
        </w:tc>
        <w:tc>
          <w:tcPr>
            <w:tcW w:w="71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0.941</w:t>
            </w:r>
          </w:p>
        </w:tc>
        <w:tc>
          <w:tcPr>
            <w:tcW w:w="761"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0.657</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1.5221</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0.1626</w:t>
            </w:r>
          </w:p>
        </w:tc>
        <w:tc>
          <w:tcPr>
            <w:tcW w:w="71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0.998</w:t>
            </w:r>
          </w:p>
        </w:tc>
        <w:tc>
          <w:tcPr>
            <w:tcW w:w="1170"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 xml:space="preserve">Freundlich </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766"/>
        </w:trPr>
        <w:tc>
          <w:tcPr>
            <w:tcW w:w="270" w:type="dxa"/>
            <w:tcBorders>
              <w:top w:val="nil"/>
              <w:left w:val="nil"/>
              <w:bottom w:val="nil"/>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Bone nHA+DAP+NPK </w:t>
            </w:r>
          </w:p>
        </w:tc>
        <w:tc>
          <w:tcPr>
            <w:tcW w:w="2405"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58.82</w:t>
            </w:r>
          </w:p>
        </w:tc>
        <w:tc>
          <w:tcPr>
            <w:tcW w:w="719"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1.889</w:t>
            </w:r>
          </w:p>
        </w:tc>
        <w:tc>
          <w:tcPr>
            <w:tcW w:w="719" w:type="dxa"/>
            <w:gridSpan w:val="2"/>
            <w:tcBorders>
              <w:top w:val="nil"/>
              <w:left w:val="nil"/>
              <w:bottom w:val="nil"/>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0.943</w:t>
            </w:r>
          </w:p>
        </w:tc>
        <w:tc>
          <w:tcPr>
            <w:tcW w:w="761" w:type="dxa"/>
            <w:tcBorders>
              <w:top w:val="nil"/>
              <w:left w:val="single" w:sz="4" w:space="0" w:color="auto"/>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0.836</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1.1962</w:t>
            </w:r>
          </w:p>
        </w:tc>
        <w:tc>
          <w:tcPr>
            <w:tcW w:w="821" w:type="dxa"/>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0.1889</w:t>
            </w:r>
          </w:p>
        </w:tc>
        <w:tc>
          <w:tcPr>
            <w:tcW w:w="719"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1170" w:type="dxa"/>
            <w:gridSpan w:val="2"/>
            <w:tcBorders>
              <w:top w:val="nil"/>
              <w:left w:val="nil"/>
              <w:bottom w:val="nil"/>
              <w:right w:val="nil"/>
            </w:tcBorders>
          </w:tcPr>
          <w:p w:rsidR="00F934C1" w:rsidRPr="00BB4B6E" w:rsidRDefault="00F934C1" w:rsidP="00F934C1">
            <w:pPr>
              <w:pStyle w:val="NormalWeb"/>
              <w:spacing w:before="0" w:beforeAutospacing="0" w:after="0" w:afterAutospacing="0" w:line="480" w:lineRule="auto"/>
            </w:pPr>
            <w:r w:rsidRPr="00BB4B6E">
              <w:rPr>
                <w:kern w:val="24"/>
              </w:rPr>
              <w:t xml:space="preserve">Freundlich </w:t>
            </w:r>
          </w:p>
        </w:tc>
      </w:tr>
      <w:tr w:rsidR="00F934C1" w:rsidRPr="00BB4B6E" w:rsidTr="00F934C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787"/>
        </w:trPr>
        <w:tc>
          <w:tcPr>
            <w:tcW w:w="270" w:type="dxa"/>
            <w:tcBorders>
              <w:top w:val="nil"/>
              <w:left w:val="nil"/>
              <w:bottom w:val="single" w:sz="4" w:space="0" w:color="auto"/>
              <w:right w:val="nil"/>
            </w:tcBorders>
          </w:tcPr>
          <w:p w:rsidR="00F934C1" w:rsidRPr="00BB4B6E" w:rsidRDefault="00F934C1" w:rsidP="00F934C1">
            <w:pPr>
              <w:pStyle w:val="Caption"/>
              <w:jc w:val="left"/>
              <w:rPr>
                <w:b w:val="0"/>
                <w:color w:val="auto"/>
                <w:sz w:val="24"/>
                <w:szCs w:val="24"/>
              </w:rPr>
            </w:pPr>
            <w:r w:rsidRPr="00BB4B6E">
              <w:rPr>
                <w:b w:val="0"/>
                <w:color w:val="auto"/>
                <w:sz w:val="24"/>
                <w:szCs w:val="24"/>
              </w:rPr>
              <w:t xml:space="preserve">Syn nHA+DAP+NPK </w:t>
            </w:r>
          </w:p>
        </w:tc>
        <w:tc>
          <w:tcPr>
            <w:tcW w:w="2405" w:type="dxa"/>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50.00</w:t>
            </w:r>
          </w:p>
        </w:tc>
        <w:tc>
          <w:tcPr>
            <w:tcW w:w="719" w:type="dxa"/>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2.860</w:t>
            </w:r>
          </w:p>
        </w:tc>
        <w:tc>
          <w:tcPr>
            <w:tcW w:w="719" w:type="dxa"/>
            <w:gridSpan w:val="2"/>
            <w:tcBorders>
              <w:top w:val="nil"/>
              <w:left w:val="nil"/>
              <w:bottom w:val="single" w:sz="4" w:space="0" w:color="auto"/>
              <w:right w:val="single" w:sz="4" w:space="0" w:color="auto"/>
            </w:tcBorders>
          </w:tcPr>
          <w:p w:rsidR="00F934C1" w:rsidRPr="00BB4B6E" w:rsidRDefault="00F934C1" w:rsidP="00F934C1">
            <w:pPr>
              <w:pStyle w:val="NormalWeb"/>
              <w:spacing w:before="0" w:beforeAutospacing="0" w:after="0" w:afterAutospacing="0" w:line="480" w:lineRule="auto"/>
            </w:pPr>
            <w:r w:rsidRPr="00BB4B6E">
              <w:rPr>
                <w:kern w:val="24"/>
              </w:rPr>
              <w:t>0.941</w:t>
            </w:r>
          </w:p>
        </w:tc>
        <w:tc>
          <w:tcPr>
            <w:tcW w:w="761" w:type="dxa"/>
            <w:tcBorders>
              <w:top w:val="nil"/>
              <w:left w:val="single" w:sz="4" w:space="0" w:color="auto"/>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0.607</w:t>
            </w:r>
          </w:p>
        </w:tc>
        <w:tc>
          <w:tcPr>
            <w:tcW w:w="821" w:type="dxa"/>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1.6474</w:t>
            </w:r>
          </w:p>
        </w:tc>
        <w:tc>
          <w:tcPr>
            <w:tcW w:w="821" w:type="dxa"/>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0.1635</w:t>
            </w:r>
          </w:p>
        </w:tc>
        <w:tc>
          <w:tcPr>
            <w:tcW w:w="719" w:type="dxa"/>
            <w:gridSpan w:val="2"/>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0.997</w:t>
            </w:r>
          </w:p>
        </w:tc>
        <w:tc>
          <w:tcPr>
            <w:tcW w:w="1170" w:type="dxa"/>
            <w:gridSpan w:val="2"/>
            <w:tcBorders>
              <w:top w:val="nil"/>
              <w:left w:val="nil"/>
              <w:bottom w:val="single" w:sz="4" w:space="0" w:color="auto"/>
              <w:right w:val="nil"/>
            </w:tcBorders>
          </w:tcPr>
          <w:p w:rsidR="00F934C1" w:rsidRPr="00BB4B6E" w:rsidRDefault="00F934C1" w:rsidP="00F934C1">
            <w:pPr>
              <w:pStyle w:val="NormalWeb"/>
              <w:spacing w:before="0" w:beforeAutospacing="0" w:after="0" w:afterAutospacing="0" w:line="480" w:lineRule="auto"/>
            </w:pPr>
            <w:r w:rsidRPr="00BB4B6E">
              <w:rPr>
                <w:kern w:val="24"/>
              </w:rPr>
              <w:t xml:space="preserve">Freundlich </w:t>
            </w:r>
          </w:p>
        </w:tc>
      </w:tr>
    </w:tbl>
    <w:p w:rsidR="00F934C1" w:rsidRPr="00BB4B6E" w:rsidRDefault="00F934C1" w:rsidP="00F934C1">
      <w:pPr>
        <w:rPr>
          <w:color w:val="000000" w:themeColor="text1"/>
        </w:rPr>
      </w:pPr>
    </w:p>
    <w:p w:rsidR="00F934C1" w:rsidRPr="00BB4B6E" w:rsidRDefault="00F934C1" w:rsidP="00F934C1">
      <w:pPr>
        <w:rPr>
          <w:color w:val="000000" w:themeColor="text1"/>
        </w:rPr>
      </w:pPr>
      <w:r w:rsidRPr="00BB4B6E">
        <w:rPr>
          <w:color w:val="000000" w:themeColor="text1"/>
        </w:rPr>
        <w:t>The above results on the adsorption of Pb</w:t>
      </w:r>
      <w:r w:rsidRPr="00BB4B6E">
        <w:rPr>
          <w:color w:val="000000" w:themeColor="text1"/>
          <w:vertAlign w:val="superscript"/>
        </w:rPr>
        <w:t>2+</w:t>
      </w:r>
      <w:r w:rsidRPr="00BB4B6E">
        <w:rPr>
          <w:color w:val="000000" w:themeColor="text1"/>
        </w:rPr>
        <w:t xml:space="preserve"> onto bone and synthetic nano-fertilizers, fitted well in Freundlich isotherm model as it posts higher coefficient of correlation (R</w:t>
      </w:r>
      <w:r w:rsidRPr="00BB4B6E">
        <w:rPr>
          <w:color w:val="000000" w:themeColor="text1"/>
          <w:vertAlign w:val="superscript"/>
        </w:rPr>
        <w:t xml:space="preserve">2 </w:t>
      </w:r>
      <w:r w:rsidRPr="00BB4B6E">
        <w:rPr>
          <w:color w:val="000000" w:themeColor="text1"/>
        </w:rPr>
        <w:t>&gt; 0.996) than the Langmuir model which posted correlation coefficient (R</w:t>
      </w:r>
      <w:r w:rsidRPr="00BB4B6E">
        <w:rPr>
          <w:color w:val="000000" w:themeColor="text1"/>
          <w:vertAlign w:val="superscript"/>
        </w:rPr>
        <w:t xml:space="preserve">2 </w:t>
      </w:r>
      <w:r w:rsidRPr="00BB4B6E">
        <w:rPr>
          <w:color w:val="000000" w:themeColor="text1"/>
        </w:rPr>
        <w:t>˂ 0</w:t>
      </w:r>
      <w:r>
        <w:rPr>
          <w:color w:val="000000" w:themeColor="text1"/>
        </w:rPr>
        <w:t>.95). When 1/n ˂ 1, it indicates</w:t>
      </w:r>
      <w:r w:rsidRPr="00BB4B6E">
        <w:rPr>
          <w:color w:val="000000" w:themeColor="text1"/>
        </w:rPr>
        <w:t xml:space="preserve"> that the adsorption process of Pb is favorable. However in bone nano-fertilizers, ‘</w:t>
      </w:r>
      <w:r w:rsidRPr="00BB4B6E">
        <w:rPr>
          <w:b/>
          <w:color w:val="000000" w:themeColor="text1"/>
        </w:rPr>
        <w:t>1/n</w:t>
      </w:r>
      <w:r w:rsidRPr="00BB4B6E">
        <w:rPr>
          <w:color w:val="000000" w:themeColor="text1"/>
        </w:rPr>
        <w:t xml:space="preserve">’ value is lower than in synthetic nano-fertilizers, signifying the adsorption process is more favorable in bone nanofertilizers due to more stable adsorption sites and chelation sites than synthetic nano-fertilizers. Similarly the </w:t>
      </w:r>
      <w:r w:rsidRPr="00BB4B6E">
        <w:rPr>
          <w:b/>
          <w:color w:val="000000" w:themeColor="text1"/>
        </w:rPr>
        <w:t>K</w:t>
      </w:r>
      <w:r w:rsidRPr="00BB4B6E">
        <w:rPr>
          <w:b/>
          <w:color w:val="000000" w:themeColor="text1"/>
          <w:vertAlign w:val="subscript"/>
        </w:rPr>
        <w:t>f</w:t>
      </w:r>
      <w:r w:rsidRPr="00BB4B6E">
        <w:rPr>
          <w:color w:val="000000" w:themeColor="text1"/>
        </w:rPr>
        <w:t xml:space="preserve"> value are higher in bone nanofertilizers than in the synthetic nanofertilizers implying the adsorption process of Pb is more favorable in the bone nanofertilizers (Ling </w:t>
      </w:r>
      <w:r w:rsidRPr="00BB4B6E">
        <w:rPr>
          <w:i/>
          <w:color w:val="000000" w:themeColor="text1"/>
        </w:rPr>
        <w:t>et al</w:t>
      </w:r>
      <w:r w:rsidRPr="00BB4B6E">
        <w:rPr>
          <w:color w:val="000000" w:themeColor="text1"/>
        </w:rPr>
        <w:t>., 2017; Liu &amp; Lal, 2014).</w:t>
      </w:r>
    </w:p>
    <w:p w:rsidR="00F934C1" w:rsidRPr="00BB4B6E" w:rsidRDefault="00F934C1" w:rsidP="00F934C1">
      <w:pPr>
        <w:rPr>
          <w:color w:val="000000" w:themeColor="text1"/>
        </w:rPr>
      </w:pPr>
    </w:p>
    <w:p w:rsidR="00F934C1" w:rsidRPr="00BB4B6E" w:rsidRDefault="00F934C1" w:rsidP="00F934C1">
      <w:pPr>
        <w:pStyle w:val="Heading2"/>
        <w:spacing w:before="0"/>
        <w:rPr>
          <w:rFonts w:cs="Times New Roman"/>
          <w:color w:val="auto"/>
          <w:szCs w:val="24"/>
        </w:rPr>
      </w:pPr>
      <w:bookmarkStart w:id="266" w:name="_Toc114763422"/>
      <w:bookmarkStart w:id="267" w:name="_Toc144820073"/>
      <w:r w:rsidRPr="00BB4B6E">
        <w:rPr>
          <w:rFonts w:cs="Times New Roman"/>
          <w:color w:val="auto"/>
          <w:szCs w:val="24"/>
        </w:rPr>
        <w:lastRenderedPageBreak/>
        <w:t>4.9 Adsorption Kinetic Studies</w:t>
      </w:r>
      <w:bookmarkEnd w:id="266"/>
      <w:bookmarkEnd w:id="267"/>
    </w:p>
    <w:p w:rsidR="00F934C1" w:rsidRPr="00BB4B6E" w:rsidRDefault="00F934C1" w:rsidP="00F934C1">
      <w:pPr>
        <w:rPr>
          <w:color w:val="000000" w:themeColor="text1"/>
        </w:rPr>
      </w:pPr>
      <w:r w:rsidRPr="00BB4B6E">
        <w:rPr>
          <w:color w:val="000000" w:themeColor="text1"/>
        </w:rPr>
        <w:t>Kinetics of adsorption Cd</w:t>
      </w:r>
      <w:r w:rsidRPr="00BB4B6E">
        <w:rPr>
          <w:color w:val="000000" w:themeColor="text1"/>
          <w:vertAlign w:val="superscript"/>
        </w:rPr>
        <w:t>2+</w:t>
      </w:r>
      <w:r w:rsidRPr="00BB4B6E">
        <w:rPr>
          <w:color w:val="000000" w:themeColor="text1"/>
        </w:rPr>
        <w:t xml:space="preserve"> and Pb</w:t>
      </w:r>
      <w:r w:rsidRPr="00BB4B6E">
        <w:rPr>
          <w:color w:val="000000" w:themeColor="text1"/>
          <w:vertAlign w:val="superscript"/>
        </w:rPr>
        <w:t>2+</w:t>
      </w:r>
      <w:r w:rsidRPr="00BB4B6E">
        <w:rPr>
          <w:color w:val="000000" w:themeColor="text1"/>
        </w:rPr>
        <w:t xml:space="preserve"> was investigated using pseudo 1</w:t>
      </w:r>
      <w:r w:rsidRPr="00BB4B6E">
        <w:rPr>
          <w:color w:val="000000" w:themeColor="text1"/>
          <w:vertAlign w:val="superscript"/>
        </w:rPr>
        <w:t>st</w:t>
      </w:r>
      <w:r w:rsidRPr="00BB4B6E">
        <w:rPr>
          <w:color w:val="000000" w:themeColor="text1"/>
        </w:rPr>
        <w:t xml:space="preserve"> order and pseudo 2</w:t>
      </w:r>
      <w:r w:rsidRPr="00BB4B6E">
        <w:rPr>
          <w:color w:val="000000" w:themeColor="text1"/>
          <w:vertAlign w:val="superscript"/>
        </w:rPr>
        <w:t>nd</w:t>
      </w:r>
      <w:r w:rsidRPr="00BB4B6E">
        <w:rPr>
          <w:color w:val="000000" w:themeColor="text1"/>
        </w:rPr>
        <w:t xml:space="preserve"> order model equations to explain the adsorption rate and adsorptive capacity of the nanofertilizers. Linear plots of Equation 2.4 and 2.5 were applied to determine the best fit model and compute kinetic parameters. The calculated constants of Q</w:t>
      </w:r>
      <w:r w:rsidRPr="00BB4B6E">
        <w:rPr>
          <w:color w:val="000000" w:themeColor="text1"/>
          <w:vertAlign w:val="subscript"/>
        </w:rPr>
        <w:t>e</w:t>
      </w:r>
      <w:r w:rsidRPr="00BB4B6E">
        <w:rPr>
          <w:color w:val="000000" w:themeColor="text1"/>
        </w:rPr>
        <w:t xml:space="preserve"> of pseudo 1</w:t>
      </w:r>
      <w:r w:rsidRPr="00BB4B6E">
        <w:rPr>
          <w:color w:val="000000" w:themeColor="text1"/>
          <w:vertAlign w:val="superscript"/>
        </w:rPr>
        <w:t>st</w:t>
      </w:r>
      <w:r w:rsidRPr="00BB4B6E">
        <w:rPr>
          <w:color w:val="000000" w:themeColor="text1"/>
        </w:rPr>
        <w:t xml:space="preserve"> order and Q</w:t>
      </w:r>
      <w:r w:rsidRPr="00BB4B6E">
        <w:rPr>
          <w:color w:val="000000" w:themeColor="text1"/>
          <w:vertAlign w:val="subscript"/>
        </w:rPr>
        <w:t>e</w:t>
      </w:r>
      <w:r w:rsidRPr="00BB4B6E">
        <w:rPr>
          <w:color w:val="000000" w:themeColor="text1"/>
        </w:rPr>
        <w:t xml:space="preserve"> of pseudo 2</w:t>
      </w:r>
      <w:r w:rsidRPr="00BB4B6E">
        <w:rPr>
          <w:color w:val="000000" w:themeColor="text1"/>
          <w:vertAlign w:val="superscript"/>
        </w:rPr>
        <w:t>nd</w:t>
      </w:r>
      <w:r w:rsidRPr="00BB4B6E">
        <w:rPr>
          <w:color w:val="000000" w:themeColor="text1"/>
        </w:rPr>
        <w:t xml:space="preserve"> order models are compared to the experimental Q</w:t>
      </w:r>
      <w:r w:rsidRPr="00BB4B6E">
        <w:rPr>
          <w:color w:val="000000" w:themeColor="text1"/>
          <w:vertAlign w:val="subscript"/>
        </w:rPr>
        <w:t>e</w:t>
      </w:r>
      <w:r w:rsidRPr="00BB4B6E">
        <w:rPr>
          <w:color w:val="000000" w:themeColor="text1"/>
        </w:rPr>
        <w:t xml:space="preserve"> calculated using Equation 2.4 and Equation 2.5</w:t>
      </w:r>
      <w:r>
        <w:rPr>
          <w:color w:val="000000" w:themeColor="text1"/>
        </w:rPr>
        <w:t xml:space="preserve"> data obtained as described in S</w:t>
      </w:r>
      <w:r w:rsidRPr="00BB4B6E">
        <w:rPr>
          <w:color w:val="000000" w:themeColor="text1"/>
        </w:rPr>
        <w:t>ection 2.8.2. Similarly, the rates of adsorption K</w:t>
      </w:r>
      <w:r w:rsidRPr="00BB4B6E">
        <w:rPr>
          <w:color w:val="000000" w:themeColor="text1"/>
          <w:vertAlign w:val="subscript"/>
        </w:rPr>
        <w:t xml:space="preserve">1 </w:t>
      </w:r>
      <w:r w:rsidRPr="00BB4B6E">
        <w:rPr>
          <w:color w:val="000000" w:themeColor="text1"/>
        </w:rPr>
        <w:t>and K</w:t>
      </w:r>
      <w:r w:rsidRPr="00BB4B6E">
        <w:rPr>
          <w:color w:val="000000" w:themeColor="text1"/>
          <w:vertAlign w:val="subscript"/>
        </w:rPr>
        <w:t>2</w:t>
      </w:r>
      <w:r w:rsidRPr="00BB4B6E">
        <w:rPr>
          <w:color w:val="000000" w:themeColor="text1"/>
        </w:rPr>
        <w:t xml:space="preserve"> values were also calculated and obtained from graphical plots of pseudo 1</w:t>
      </w:r>
      <w:r w:rsidRPr="00BB4B6E">
        <w:rPr>
          <w:color w:val="000000" w:themeColor="text1"/>
          <w:vertAlign w:val="superscript"/>
        </w:rPr>
        <w:t>st</w:t>
      </w:r>
      <w:r w:rsidRPr="00BB4B6E">
        <w:rPr>
          <w:color w:val="000000" w:themeColor="text1"/>
        </w:rPr>
        <w:t xml:space="preserve"> order and pseudo 2</w:t>
      </w:r>
      <w:r w:rsidRPr="00BB4B6E">
        <w:rPr>
          <w:color w:val="000000" w:themeColor="text1"/>
          <w:vertAlign w:val="superscript"/>
        </w:rPr>
        <w:t>nd</w:t>
      </w:r>
      <w:r w:rsidRPr="00BB4B6E">
        <w:rPr>
          <w:color w:val="000000" w:themeColor="text1"/>
        </w:rPr>
        <w:t xml:space="preserve"> order models.</w:t>
      </w:r>
    </w:p>
    <w:p w:rsidR="00F934C1" w:rsidRPr="00BB4B6E" w:rsidRDefault="00F934C1" w:rsidP="00F934C1"/>
    <w:p w:rsidR="00F934C1" w:rsidRPr="00BB4B6E" w:rsidRDefault="00F934C1" w:rsidP="00F934C1">
      <w:pPr>
        <w:pStyle w:val="Heading3"/>
        <w:spacing w:before="0"/>
        <w:rPr>
          <w:rFonts w:cs="Times New Roman"/>
          <w:color w:val="auto"/>
        </w:rPr>
      </w:pPr>
      <w:bookmarkStart w:id="268" w:name="_Toc114763423"/>
      <w:bookmarkStart w:id="269" w:name="_Toc144820074"/>
      <w:r w:rsidRPr="00BB4B6E">
        <w:rPr>
          <w:rFonts w:cs="Times New Roman"/>
          <w:color w:val="auto"/>
        </w:rPr>
        <w:t>4.9.1 Adsorption Kinetic Studies for Cadmium and Lead</w:t>
      </w:r>
      <w:bookmarkEnd w:id="268"/>
      <w:bookmarkEnd w:id="269"/>
    </w:p>
    <w:p w:rsidR="00F934C1" w:rsidRPr="00BB4B6E" w:rsidRDefault="00F934C1" w:rsidP="00F934C1">
      <w:r w:rsidRPr="00BB4B6E">
        <w:t>Kinetic constants of pseudo 1</w:t>
      </w:r>
      <w:r w:rsidRPr="00BB4B6E">
        <w:rPr>
          <w:vertAlign w:val="superscript"/>
        </w:rPr>
        <w:t>st</w:t>
      </w:r>
      <w:r w:rsidRPr="00BB4B6E">
        <w:t xml:space="preserve"> order and pseudo 2</w:t>
      </w:r>
      <w:r w:rsidRPr="00BB4B6E">
        <w:rPr>
          <w:vertAlign w:val="superscript"/>
        </w:rPr>
        <w:t>nd</w:t>
      </w:r>
      <w:r w:rsidRPr="00BB4B6E">
        <w:t xml:space="preserve"> order equations for cadmium in all the nano-fertilizers are recorded in Table 4.19 and Table 4.20. </w:t>
      </w:r>
    </w:p>
    <w:p w:rsidR="00F934C1" w:rsidRPr="00BB4B6E" w:rsidRDefault="00F934C1" w:rsidP="00F934C1">
      <w:pPr>
        <w:autoSpaceDE/>
        <w:autoSpaceDN/>
        <w:adjustRightInd/>
        <w:spacing w:after="200" w:line="276" w:lineRule="auto"/>
        <w:jc w:val="left"/>
        <w:rPr>
          <w:b/>
          <w:bCs/>
        </w:rPr>
      </w:pPr>
      <w:r w:rsidRPr="00BB4B6E">
        <w:rPr>
          <w:b/>
          <w:bCs/>
        </w:rPr>
        <w:br w:type="page"/>
      </w:r>
    </w:p>
    <w:p w:rsidR="00F934C1" w:rsidRPr="00BB4B6E" w:rsidRDefault="00F934C1" w:rsidP="00F934C1">
      <w:pPr>
        <w:pStyle w:val="Heading4"/>
      </w:pPr>
      <w:bookmarkStart w:id="270" w:name="_Toc120047585"/>
      <w:bookmarkStart w:id="271" w:name="_Toc144222350"/>
      <w:r w:rsidRPr="00BB4B6E">
        <w:rPr>
          <w:color w:val="auto"/>
        </w:rPr>
        <w:lastRenderedPageBreak/>
        <w:t>Table 4.19</w:t>
      </w:r>
      <w:r w:rsidRPr="00BB4B6E">
        <w:t>: Computed results of adsorption kinetic using pseudo first order equation</w:t>
      </w:r>
      <w:bookmarkEnd w:id="270"/>
      <w:bookmarkEnd w:id="271"/>
    </w:p>
    <w:tbl>
      <w:tblPr>
        <w:tblStyle w:val="TableGrid"/>
        <w:tblW w:w="8730" w:type="dxa"/>
        <w:tblInd w:w="108" w:type="dxa"/>
        <w:tblLayout w:type="fixed"/>
        <w:tblLook w:val="04A0" w:firstRow="1" w:lastRow="0" w:firstColumn="1" w:lastColumn="0" w:noHBand="0" w:noVBand="1"/>
      </w:tblPr>
      <w:tblGrid>
        <w:gridCol w:w="2070"/>
        <w:gridCol w:w="1080"/>
        <w:gridCol w:w="1080"/>
        <w:gridCol w:w="270"/>
        <w:gridCol w:w="574"/>
        <w:gridCol w:w="1226"/>
        <w:gridCol w:w="1260"/>
        <w:gridCol w:w="1170"/>
      </w:tblGrid>
      <w:tr w:rsidR="00F934C1" w:rsidRPr="00BB4B6E" w:rsidTr="00F934C1">
        <w:tc>
          <w:tcPr>
            <w:tcW w:w="2070" w:type="dxa"/>
            <w:tcBorders>
              <w:left w:val="nil"/>
              <w:bottom w:val="single" w:sz="4" w:space="0" w:color="auto"/>
              <w:right w:val="nil"/>
            </w:tcBorders>
          </w:tcPr>
          <w:p w:rsidR="00F934C1" w:rsidRPr="00BB4B6E" w:rsidRDefault="00F934C1" w:rsidP="00F934C1">
            <w:pPr>
              <w:spacing w:line="240" w:lineRule="auto"/>
            </w:pPr>
            <w:r w:rsidRPr="00BB4B6E">
              <w:t>ADSORBENT</w:t>
            </w:r>
          </w:p>
        </w:tc>
        <w:tc>
          <w:tcPr>
            <w:tcW w:w="1080" w:type="dxa"/>
            <w:tcBorders>
              <w:left w:val="nil"/>
              <w:bottom w:val="single" w:sz="4" w:space="0" w:color="auto"/>
              <w:right w:val="nil"/>
            </w:tcBorders>
          </w:tcPr>
          <w:p w:rsidR="00F934C1" w:rsidRPr="00BB4B6E" w:rsidRDefault="00F934C1" w:rsidP="00F934C1">
            <w:pPr>
              <w:spacing w:line="240" w:lineRule="auto"/>
            </w:pPr>
          </w:p>
        </w:tc>
        <w:tc>
          <w:tcPr>
            <w:tcW w:w="1350" w:type="dxa"/>
            <w:gridSpan w:val="2"/>
            <w:tcBorders>
              <w:left w:val="nil"/>
              <w:bottom w:val="single" w:sz="4" w:space="0" w:color="auto"/>
              <w:right w:val="nil"/>
            </w:tcBorders>
          </w:tcPr>
          <w:p w:rsidR="00F934C1" w:rsidRPr="00BB4B6E" w:rsidRDefault="00F934C1" w:rsidP="00F934C1">
            <w:pPr>
              <w:spacing w:line="240" w:lineRule="auto"/>
            </w:pPr>
            <w:r w:rsidRPr="00BB4B6E">
              <w:t>Cd</w:t>
            </w:r>
            <w:r w:rsidRPr="00BB4B6E">
              <w:rPr>
                <w:vertAlign w:val="superscript"/>
              </w:rPr>
              <w:t>2+</w:t>
            </w:r>
            <w:r w:rsidRPr="00BB4B6E">
              <w:t xml:space="preserve"> kinetic parameters</w:t>
            </w:r>
          </w:p>
        </w:tc>
        <w:tc>
          <w:tcPr>
            <w:tcW w:w="574" w:type="dxa"/>
            <w:tcBorders>
              <w:left w:val="nil"/>
              <w:bottom w:val="single" w:sz="4" w:space="0" w:color="auto"/>
              <w:right w:val="single" w:sz="4" w:space="0" w:color="auto"/>
            </w:tcBorders>
          </w:tcPr>
          <w:p w:rsidR="00F934C1" w:rsidRPr="00BB4B6E" w:rsidRDefault="00F934C1" w:rsidP="00F934C1">
            <w:pPr>
              <w:spacing w:line="240" w:lineRule="auto"/>
            </w:pPr>
          </w:p>
        </w:tc>
        <w:tc>
          <w:tcPr>
            <w:tcW w:w="1226" w:type="dxa"/>
            <w:tcBorders>
              <w:left w:val="single" w:sz="4" w:space="0" w:color="auto"/>
              <w:bottom w:val="single" w:sz="4" w:space="0" w:color="auto"/>
              <w:right w:val="nil"/>
            </w:tcBorders>
          </w:tcPr>
          <w:p w:rsidR="00F934C1" w:rsidRPr="00BB4B6E" w:rsidRDefault="00F934C1" w:rsidP="00F934C1">
            <w:pPr>
              <w:spacing w:line="240" w:lineRule="auto"/>
            </w:pPr>
          </w:p>
        </w:tc>
        <w:tc>
          <w:tcPr>
            <w:tcW w:w="1260" w:type="dxa"/>
            <w:tcBorders>
              <w:left w:val="nil"/>
              <w:bottom w:val="single" w:sz="4" w:space="0" w:color="auto"/>
              <w:right w:val="nil"/>
            </w:tcBorders>
          </w:tcPr>
          <w:p w:rsidR="00F934C1" w:rsidRPr="00BB4B6E" w:rsidRDefault="00F934C1" w:rsidP="00F934C1">
            <w:pPr>
              <w:spacing w:line="240" w:lineRule="auto"/>
            </w:pPr>
            <w:r w:rsidRPr="00BB4B6E">
              <w:t>Pb</w:t>
            </w:r>
            <w:r w:rsidRPr="00BB4B6E">
              <w:rPr>
                <w:vertAlign w:val="superscript"/>
              </w:rPr>
              <w:t>2+</w:t>
            </w:r>
            <w:r w:rsidRPr="00BB4B6E">
              <w:t xml:space="preserve"> kinetic parameters</w:t>
            </w:r>
          </w:p>
        </w:tc>
        <w:tc>
          <w:tcPr>
            <w:tcW w:w="1170" w:type="dxa"/>
            <w:tcBorders>
              <w:left w:val="nil"/>
              <w:bottom w:val="single" w:sz="4" w:space="0" w:color="auto"/>
              <w:right w:val="nil"/>
            </w:tcBorders>
          </w:tcPr>
          <w:p w:rsidR="00F934C1" w:rsidRPr="00BB4B6E" w:rsidRDefault="00F934C1" w:rsidP="00F934C1">
            <w:pPr>
              <w:spacing w:line="240" w:lineRule="auto"/>
            </w:pPr>
          </w:p>
        </w:tc>
      </w:tr>
      <w:tr w:rsidR="00F934C1" w:rsidRPr="00BB4B6E" w:rsidTr="00F934C1">
        <w:tc>
          <w:tcPr>
            <w:tcW w:w="2070" w:type="dxa"/>
            <w:tcBorders>
              <w:top w:val="single" w:sz="4" w:space="0" w:color="auto"/>
              <w:left w:val="nil"/>
              <w:bottom w:val="single" w:sz="4" w:space="0" w:color="auto"/>
              <w:right w:val="nil"/>
            </w:tcBorders>
          </w:tcPr>
          <w:p w:rsidR="00F934C1" w:rsidRPr="00BB4B6E" w:rsidRDefault="00F934C1" w:rsidP="00F934C1">
            <w:pPr>
              <w:spacing w:line="240" w:lineRule="auto"/>
            </w:pPr>
          </w:p>
        </w:tc>
        <w:tc>
          <w:tcPr>
            <w:tcW w:w="1080" w:type="dxa"/>
            <w:tcBorders>
              <w:top w:val="single" w:sz="4" w:space="0" w:color="auto"/>
              <w:left w:val="nil"/>
              <w:bottom w:val="single" w:sz="4" w:space="0" w:color="auto"/>
              <w:right w:val="nil"/>
            </w:tcBorders>
          </w:tcPr>
          <w:p w:rsidR="00F934C1" w:rsidRPr="00BB4B6E" w:rsidRDefault="00F934C1" w:rsidP="00F934C1">
            <w:r w:rsidRPr="00BB4B6E">
              <w:t>K</w:t>
            </w:r>
            <w:r w:rsidRPr="00BB4B6E">
              <w:rPr>
                <w:vertAlign w:val="subscript"/>
              </w:rPr>
              <w:t>1</w:t>
            </w:r>
          </w:p>
        </w:tc>
        <w:tc>
          <w:tcPr>
            <w:tcW w:w="1080" w:type="dxa"/>
            <w:tcBorders>
              <w:top w:val="single" w:sz="4" w:space="0" w:color="auto"/>
              <w:left w:val="nil"/>
              <w:bottom w:val="single" w:sz="4" w:space="0" w:color="auto"/>
              <w:right w:val="nil"/>
            </w:tcBorders>
          </w:tcPr>
          <w:p w:rsidR="00F934C1" w:rsidRPr="00BB4B6E" w:rsidRDefault="00F934C1" w:rsidP="00F934C1">
            <w:r w:rsidRPr="00BB4B6E">
              <w:t>Q</w:t>
            </w:r>
            <w:r w:rsidRPr="00BB4B6E">
              <w:rPr>
                <w:vertAlign w:val="subscript"/>
              </w:rPr>
              <w:t>e</w:t>
            </w:r>
          </w:p>
        </w:tc>
        <w:tc>
          <w:tcPr>
            <w:tcW w:w="844" w:type="dxa"/>
            <w:gridSpan w:val="2"/>
            <w:tcBorders>
              <w:top w:val="single" w:sz="4" w:space="0" w:color="auto"/>
              <w:left w:val="nil"/>
              <w:bottom w:val="single" w:sz="4" w:space="0" w:color="auto"/>
              <w:right w:val="single" w:sz="4" w:space="0" w:color="auto"/>
            </w:tcBorders>
          </w:tcPr>
          <w:p w:rsidR="00F934C1" w:rsidRPr="00BB4B6E" w:rsidRDefault="00F934C1" w:rsidP="00F934C1">
            <w:r w:rsidRPr="00BB4B6E">
              <w:t>R</w:t>
            </w:r>
            <w:r w:rsidRPr="00BB4B6E">
              <w:rPr>
                <w:vertAlign w:val="superscript"/>
              </w:rPr>
              <w:t>2</w:t>
            </w:r>
          </w:p>
        </w:tc>
        <w:tc>
          <w:tcPr>
            <w:tcW w:w="1226" w:type="dxa"/>
            <w:tcBorders>
              <w:top w:val="single" w:sz="4" w:space="0" w:color="auto"/>
              <w:left w:val="single" w:sz="4" w:space="0" w:color="auto"/>
              <w:bottom w:val="single" w:sz="4" w:space="0" w:color="auto"/>
              <w:right w:val="nil"/>
            </w:tcBorders>
          </w:tcPr>
          <w:p w:rsidR="00F934C1" w:rsidRPr="00BB4B6E" w:rsidRDefault="00F934C1" w:rsidP="00F934C1">
            <w:r w:rsidRPr="00BB4B6E">
              <w:t>K</w:t>
            </w:r>
            <w:r w:rsidRPr="00BB4B6E">
              <w:rPr>
                <w:vertAlign w:val="subscript"/>
              </w:rPr>
              <w:t>1</w:t>
            </w:r>
          </w:p>
        </w:tc>
        <w:tc>
          <w:tcPr>
            <w:tcW w:w="1260" w:type="dxa"/>
            <w:tcBorders>
              <w:top w:val="single" w:sz="4" w:space="0" w:color="auto"/>
              <w:left w:val="nil"/>
              <w:bottom w:val="single" w:sz="4" w:space="0" w:color="auto"/>
              <w:right w:val="nil"/>
            </w:tcBorders>
          </w:tcPr>
          <w:p w:rsidR="00F934C1" w:rsidRPr="00BB4B6E" w:rsidRDefault="00F934C1" w:rsidP="00F934C1">
            <w:r w:rsidRPr="00BB4B6E">
              <w:t>Q</w:t>
            </w:r>
            <w:r w:rsidRPr="00BB4B6E">
              <w:rPr>
                <w:vertAlign w:val="subscript"/>
              </w:rPr>
              <w:t>e</w:t>
            </w:r>
          </w:p>
        </w:tc>
        <w:tc>
          <w:tcPr>
            <w:tcW w:w="1170" w:type="dxa"/>
            <w:tcBorders>
              <w:top w:val="single" w:sz="4" w:space="0" w:color="auto"/>
              <w:left w:val="nil"/>
              <w:bottom w:val="single" w:sz="4" w:space="0" w:color="auto"/>
              <w:right w:val="nil"/>
            </w:tcBorders>
          </w:tcPr>
          <w:p w:rsidR="00F934C1" w:rsidRPr="00BB4B6E" w:rsidRDefault="00F934C1" w:rsidP="00F934C1">
            <w:r w:rsidRPr="00BB4B6E">
              <w:t>R</w:t>
            </w:r>
            <w:r w:rsidRPr="00BB4B6E">
              <w:rPr>
                <w:vertAlign w:val="superscript"/>
              </w:rPr>
              <w:t>2</w:t>
            </w:r>
          </w:p>
        </w:tc>
      </w:tr>
      <w:tr w:rsidR="00F934C1" w:rsidRPr="00BB4B6E" w:rsidTr="00F934C1">
        <w:tc>
          <w:tcPr>
            <w:tcW w:w="2070" w:type="dxa"/>
            <w:tcBorders>
              <w:top w:val="single" w:sz="4" w:space="0" w:color="auto"/>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Bone nHA </w:t>
            </w:r>
          </w:p>
        </w:tc>
        <w:tc>
          <w:tcPr>
            <w:tcW w:w="1080" w:type="dxa"/>
            <w:tcBorders>
              <w:top w:val="single" w:sz="4" w:space="0" w:color="auto"/>
              <w:left w:val="nil"/>
              <w:bottom w:val="nil"/>
              <w:right w:val="nil"/>
            </w:tcBorders>
          </w:tcPr>
          <w:p w:rsidR="00F934C1" w:rsidRPr="00BB4B6E" w:rsidRDefault="00F934C1" w:rsidP="00F934C1">
            <w:r w:rsidRPr="00BB4B6E">
              <w:t>0.00304</w:t>
            </w:r>
          </w:p>
        </w:tc>
        <w:tc>
          <w:tcPr>
            <w:tcW w:w="1080" w:type="dxa"/>
            <w:tcBorders>
              <w:top w:val="single" w:sz="4" w:space="0" w:color="auto"/>
              <w:left w:val="nil"/>
              <w:bottom w:val="nil"/>
              <w:right w:val="nil"/>
            </w:tcBorders>
          </w:tcPr>
          <w:p w:rsidR="00F934C1" w:rsidRPr="00BB4B6E" w:rsidRDefault="00F934C1" w:rsidP="00F934C1">
            <w:r w:rsidRPr="00BB4B6E">
              <w:t>0.707</w:t>
            </w:r>
          </w:p>
        </w:tc>
        <w:tc>
          <w:tcPr>
            <w:tcW w:w="844" w:type="dxa"/>
            <w:gridSpan w:val="2"/>
            <w:tcBorders>
              <w:top w:val="single" w:sz="4" w:space="0" w:color="auto"/>
              <w:left w:val="nil"/>
              <w:bottom w:val="nil"/>
              <w:right w:val="single" w:sz="4" w:space="0" w:color="auto"/>
            </w:tcBorders>
          </w:tcPr>
          <w:p w:rsidR="00F934C1" w:rsidRPr="00BB4B6E" w:rsidRDefault="00F934C1" w:rsidP="00F934C1">
            <w:r w:rsidRPr="00BB4B6E">
              <w:t>0.999</w:t>
            </w:r>
          </w:p>
        </w:tc>
        <w:tc>
          <w:tcPr>
            <w:tcW w:w="1226" w:type="dxa"/>
            <w:tcBorders>
              <w:top w:val="single" w:sz="4" w:space="0" w:color="auto"/>
              <w:left w:val="single" w:sz="4" w:space="0" w:color="auto"/>
              <w:bottom w:val="nil"/>
              <w:right w:val="nil"/>
            </w:tcBorders>
          </w:tcPr>
          <w:p w:rsidR="00F934C1" w:rsidRPr="00BB4B6E" w:rsidRDefault="00F934C1" w:rsidP="00F934C1">
            <w:r w:rsidRPr="00BB4B6E">
              <w:t>0.00260</w:t>
            </w:r>
          </w:p>
        </w:tc>
        <w:tc>
          <w:tcPr>
            <w:tcW w:w="1260" w:type="dxa"/>
            <w:tcBorders>
              <w:top w:val="single" w:sz="4" w:space="0" w:color="auto"/>
              <w:left w:val="nil"/>
              <w:bottom w:val="nil"/>
              <w:right w:val="nil"/>
            </w:tcBorders>
          </w:tcPr>
          <w:p w:rsidR="00F934C1" w:rsidRPr="00BB4B6E" w:rsidRDefault="00F934C1" w:rsidP="00F934C1">
            <w:r w:rsidRPr="00BB4B6E">
              <w:t>1.036</w:t>
            </w:r>
          </w:p>
        </w:tc>
        <w:tc>
          <w:tcPr>
            <w:tcW w:w="1170" w:type="dxa"/>
            <w:tcBorders>
              <w:top w:val="single" w:sz="4" w:space="0" w:color="auto"/>
              <w:left w:val="nil"/>
              <w:bottom w:val="nil"/>
              <w:right w:val="nil"/>
            </w:tcBorders>
          </w:tcPr>
          <w:p w:rsidR="00F934C1" w:rsidRPr="00BB4B6E" w:rsidRDefault="00F934C1" w:rsidP="00F934C1">
            <w:r w:rsidRPr="00BB4B6E">
              <w:t>0.904</w:t>
            </w:r>
          </w:p>
        </w:tc>
      </w:tr>
      <w:tr w:rsidR="00F934C1" w:rsidRPr="00BB4B6E" w:rsidTr="00F934C1">
        <w:tc>
          <w:tcPr>
            <w:tcW w:w="207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Syn nHA </w:t>
            </w:r>
          </w:p>
        </w:tc>
        <w:tc>
          <w:tcPr>
            <w:tcW w:w="1080" w:type="dxa"/>
            <w:tcBorders>
              <w:top w:val="nil"/>
              <w:left w:val="nil"/>
              <w:bottom w:val="nil"/>
              <w:right w:val="nil"/>
            </w:tcBorders>
          </w:tcPr>
          <w:p w:rsidR="00F934C1" w:rsidRPr="00BB4B6E" w:rsidRDefault="00F934C1" w:rsidP="00F934C1">
            <w:r w:rsidRPr="00BB4B6E">
              <w:t>0.00304</w:t>
            </w:r>
          </w:p>
        </w:tc>
        <w:tc>
          <w:tcPr>
            <w:tcW w:w="1080" w:type="dxa"/>
            <w:tcBorders>
              <w:top w:val="nil"/>
              <w:left w:val="nil"/>
              <w:bottom w:val="nil"/>
              <w:right w:val="nil"/>
            </w:tcBorders>
          </w:tcPr>
          <w:p w:rsidR="00F934C1" w:rsidRPr="00BB4B6E" w:rsidRDefault="00F934C1" w:rsidP="00F934C1">
            <w:r w:rsidRPr="00BB4B6E">
              <w:t>0.701</w:t>
            </w:r>
          </w:p>
        </w:tc>
        <w:tc>
          <w:tcPr>
            <w:tcW w:w="844" w:type="dxa"/>
            <w:gridSpan w:val="2"/>
            <w:tcBorders>
              <w:top w:val="nil"/>
              <w:left w:val="nil"/>
              <w:bottom w:val="nil"/>
              <w:right w:val="single" w:sz="4" w:space="0" w:color="auto"/>
            </w:tcBorders>
          </w:tcPr>
          <w:p w:rsidR="00F934C1" w:rsidRPr="00BB4B6E" w:rsidRDefault="00F934C1" w:rsidP="00F934C1">
            <w:r w:rsidRPr="00BB4B6E">
              <w:t>0.999</w:t>
            </w:r>
          </w:p>
        </w:tc>
        <w:tc>
          <w:tcPr>
            <w:tcW w:w="1226" w:type="dxa"/>
            <w:tcBorders>
              <w:top w:val="nil"/>
              <w:left w:val="single" w:sz="4" w:space="0" w:color="auto"/>
              <w:bottom w:val="nil"/>
              <w:right w:val="nil"/>
            </w:tcBorders>
          </w:tcPr>
          <w:p w:rsidR="00F934C1" w:rsidRPr="00BB4B6E" w:rsidRDefault="00F934C1" w:rsidP="00F934C1">
            <w:r w:rsidRPr="00BB4B6E">
              <w:t>0.002605</w:t>
            </w:r>
          </w:p>
        </w:tc>
        <w:tc>
          <w:tcPr>
            <w:tcW w:w="1260" w:type="dxa"/>
            <w:tcBorders>
              <w:top w:val="nil"/>
              <w:left w:val="nil"/>
              <w:bottom w:val="nil"/>
              <w:right w:val="nil"/>
            </w:tcBorders>
          </w:tcPr>
          <w:p w:rsidR="00F934C1" w:rsidRPr="00BB4B6E" w:rsidRDefault="00F934C1" w:rsidP="00F934C1">
            <w:r w:rsidRPr="00BB4B6E">
              <w:t>0.991</w:t>
            </w:r>
          </w:p>
        </w:tc>
        <w:tc>
          <w:tcPr>
            <w:tcW w:w="1170" w:type="dxa"/>
            <w:tcBorders>
              <w:top w:val="nil"/>
              <w:left w:val="nil"/>
              <w:bottom w:val="nil"/>
              <w:right w:val="nil"/>
            </w:tcBorders>
          </w:tcPr>
          <w:p w:rsidR="00F934C1" w:rsidRPr="00BB4B6E" w:rsidRDefault="00F934C1" w:rsidP="00F934C1">
            <w:r w:rsidRPr="00BB4B6E">
              <w:t>0.903</w:t>
            </w:r>
          </w:p>
        </w:tc>
      </w:tr>
      <w:tr w:rsidR="00F934C1" w:rsidRPr="00BB4B6E" w:rsidTr="00F934C1">
        <w:tc>
          <w:tcPr>
            <w:tcW w:w="207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Bone nHA +DAP </w:t>
            </w:r>
          </w:p>
        </w:tc>
        <w:tc>
          <w:tcPr>
            <w:tcW w:w="1080" w:type="dxa"/>
            <w:tcBorders>
              <w:top w:val="nil"/>
              <w:left w:val="nil"/>
              <w:bottom w:val="nil"/>
              <w:right w:val="nil"/>
            </w:tcBorders>
          </w:tcPr>
          <w:p w:rsidR="00F934C1" w:rsidRPr="00BB4B6E" w:rsidRDefault="00F934C1" w:rsidP="00F934C1">
            <w:r w:rsidRPr="00BB4B6E">
              <w:t>0.00217</w:t>
            </w:r>
          </w:p>
        </w:tc>
        <w:tc>
          <w:tcPr>
            <w:tcW w:w="1080" w:type="dxa"/>
            <w:tcBorders>
              <w:top w:val="nil"/>
              <w:left w:val="nil"/>
              <w:bottom w:val="nil"/>
              <w:right w:val="nil"/>
            </w:tcBorders>
          </w:tcPr>
          <w:p w:rsidR="00F934C1" w:rsidRPr="00BB4B6E" w:rsidRDefault="00F934C1" w:rsidP="00F934C1">
            <w:r w:rsidRPr="00BB4B6E">
              <w:t>1.823</w:t>
            </w:r>
          </w:p>
        </w:tc>
        <w:tc>
          <w:tcPr>
            <w:tcW w:w="844" w:type="dxa"/>
            <w:gridSpan w:val="2"/>
            <w:tcBorders>
              <w:top w:val="nil"/>
              <w:left w:val="nil"/>
              <w:bottom w:val="nil"/>
              <w:right w:val="single" w:sz="4" w:space="0" w:color="auto"/>
            </w:tcBorders>
          </w:tcPr>
          <w:p w:rsidR="00F934C1" w:rsidRPr="00BB4B6E" w:rsidRDefault="00F934C1" w:rsidP="00F934C1">
            <w:r w:rsidRPr="00BB4B6E">
              <w:t>0.999</w:t>
            </w:r>
          </w:p>
        </w:tc>
        <w:tc>
          <w:tcPr>
            <w:tcW w:w="1226" w:type="dxa"/>
            <w:tcBorders>
              <w:top w:val="nil"/>
              <w:left w:val="single" w:sz="4" w:space="0" w:color="auto"/>
              <w:bottom w:val="nil"/>
              <w:right w:val="nil"/>
            </w:tcBorders>
          </w:tcPr>
          <w:p w:rsidR="00F934C1" w:rsidRPr="00BB4B6E" w:rsidRDefault="00F934C1" w:rsidP="00F934C1">
            <w:r w:rsidRPr="00BB4B6E">
              <w:t>0.00261</w:t>
            </w:r>
          </w:p>
        </w:tc>
        <w:tc>
          <w:tcPr>
            <w:tcW w:w="1260" w:type="dxa"/>
            <w:tcBorders>
              <w:top w:val="nil"/>
              <w:left w:val="nil"/>
              <w:bottom w:val="nil"/>
              <w:right w:val="nil"/>
            </w:tcBorders>
          </w:tcPr>
          <w:p w:rsidR="00F934C1" w:rsidRPr="00BB4B6E" w:rsidRDefault="00F934C1" w:rsidP="00F934C1">
            <w:r w:rsidRPr="00BB4B6E">
              <w:t>1.051</w:t>
            </w:r>
          </w:p>
        </w:tc>
        <w:tc>
          <w:tcPr>
            <w:tcW w:w="1170" w:type="dxa"/>
            <w:tcBorders>
              <w:top w:val="nil"/>
              <w:left w:val="nil"/>
              <w:bottom w:val="nil"/>
              <w:right w:val="nil"/>
            </w:tcBorders>
          </w:tcPr>
          <w:p w:rsidR="00F934C1" w:rsidRPr="00BB4B6E" w:rsidRDefault="00F934C1" w:rsidP="00F934C1">
            <w:r w:rsidRPr="00BB4B6E">
              <w:t>0.901</w:t>
            </w:r>
          </w:p>
        </w:tc>
      </w:tr>
      <w:tr w:rsidR="00F934C1" w:rsidRPr="00BB4B6E" w:rsidTr="00F934C1">
        <w:tc>
          <w:tcPr>
            <w:tcW w:w="207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Syn nHA +DAP </w:t>
            </w:r>
          </w:p>
        </w:tc>
        <w:tc>
          <w:tcPr>
            <w:tcW w:w="1080" w:type="dxa"/>
            <w:tcBorders>
              <w:top w:val="nil"/>
              <w:left w:val="nil"/>
              <w:bottom w:val="nil"/>
              <w:right w:val="nil"/>
            </w:tcBorders>
          </w:tcPr>
          <w:p w:rsidR="00F934C1" w:rsidRPr="00BB4B6E" w:rsidRDefault="00F934C1" w:rsidP="00F934C1">
            <w:r w:rsidRPr="00BB4B6E">
              <w:t>0.003041</w:t>
            </w:r>
          </w:p>
        </w:tc>
        <w:tc>
          <w:tcPr>
            <w:tcW w:w="1080" w:type="dxa"/>
            <w:tcBorders>
              <w:top w:val="nil"/>
              <w:left w:val="nil"/>
              <w:bottom w:val="nil"/>
              <w:right w:val="nil"/>
            </w:tcBorders>
          </w:tcPr>
          <w:p w:rsidR="00F934C1" w:rsidRPr="00BB4B6E" w:rsidRDefault="00F934C1" w:rsidP="00F934C1">
            <w:r w:rsidRPr="00BB4B6E">
              <w:t>0.703</w:t>
            </w:r>
          </w:p>
        </w:tc>
        <w:tc>
          <w:tcPr>
            <w:tcW w:w="844" w:type="dxa"/>
            <w:gridSpan w:val="2"/>
            <w:tcBorders>
              <w:top w:val="nil"/>
              <w:left w:val="nil"/>
              <w:bottom w:val="nil"/>
              <w:right w:val="single" w:sz="4" w:space="0" w:color="auto"/>
            </w:tcBorders>
          </w:tcPr>
          <w:p w:rsidR="00F934C1" w:rsidRPr="00BB4B6E" w:rsidRDefault="00F934C1" w:rsidP="00F934C1">
            <w:r w:rsidRPr="00BB4B6E">
              <w:t>0.998</w:t>
            </w:r>
          </w:p>
        </w:tc>
        <w:tc>
          <w:tcPr>
            <w:tcW w:w="1226" w:type="dxa"/>
            <w:tcBorders>
              <w:top w:val="nil"/>
              <w:left w:val="single" w:sz="4" w:space="0" w:color="auto"/>
              <w:bottom w:val="nil"/>
              <w:right w:val="nil"/>
            </w:tcBorders>
          </w:tcPr>
          <w:p w:rsidR="00F934C1" w:rsidRPr="00BB4B6E" w:rsidRDefault="00F934C1" w:rsidP="00F934C1">
            <w:r w:rsidRPr="00BB4B6E">
              <w:t>0.00261</w:t>
            </w:r>
          </w:p>
        </w:tc>
        <w:tc>
          <w:tcPr>
            <w:tcW w:w="1260" w:type="dxa"/>
            <w:tcBorders>
              <w:top w:val="nil"/>
              <w:left w:val="nil"/>
              <w:bottom w:val="nil"/>
              <w:right w:val="nil"/>
            </w:tcBorders>
          </w:tcPr>
          <w:p w:rsidR="00F934C1" w:rsidRPr="00BB4B6E" w:rsidRDefault="00F934C1" w:rsidP="00F934C1">
            <w:r w:rsidRPr="00BB4B6E">
              <w:t>0.928</w:t>
            </w:r>
          </w:p>
        </w:tc>
        <w:tc>
          <w:tcPr>
            <w:tcW w:w="1170" w:type="dxa"/>
            <w:tcBorders>
              <w:top w:val="nil"/>
              <w:left w:val="nil"/>
              <w:bottom w:val="nil"/>
              <w:right w:val="nil"/>
            </w:tcBorders>
          </w:tcPr>
          <w:p w:rsidR="00F934C1" w:rsidRPr="00BB4B6E" w:rsidRDefault="00F934C1" w:rsidP="00F934C1">
            <w:r w:rsidRPr="00BB4B6E">
              <w:t>0.914</w:t>
            </w:r>
          </w:p>
        </w:tc>
      </w:tr>
      <w:tr w:rsidR="00F934C1" w:rsidRPr="00BB4B6E" w:rsidTr="00F934C1">
        <w:tc>
          <w:tcPr>
            <w:tcW w:w="207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Bone nHA+ NPK  </w:t>
            </w:r>
          </w:p>
        </w:tc>
        <w:tc>
          <w:tcPr>
            <w:tcW w:w="1080" w:type="dxa"/>
            <w:tcBorders>
              <w:top w:val="nil"/>
              <w:left w:val="nil"/>
              <w:bottom w:val="nil"/>
              <w:right w:val="nil"/>
            </w:tcBorders>
          </w:tcPr>
          <w:p w:rsidR="00F934C1" w:rsidRPr="00BB4B6E" w:rsidRDefault="00F934C1" w:rsidP="00F934C1">
            <w:r w:rsidRPr="00BB4B6E">
              <w:t>0.00261</w:t>
            </w:r>
          </w:p>
        </w:tc>
        <w:tc>
          <w:tcPr>
            <w:tcW w:w="1080" w:type="dxa"/>
            <w:tcBorders>
              <w:top w:val="nil"/>
              <w:left w:val="nil"/>
              <w:bottom w:val="nil"/>
              <w:right w:val="nil"/>
            </w:tcBorders>
          </w:tcPr>
          <w:p w:rsidR="00F934C1" w:rsidRPr="00BB4B6E" w:rsidRDefault="00F934C1" w:rsidP="00F934C1">
            <w:r w:rsidRPr="00BB4B6E">
              <w:t>0.8124</w:t>
            </w:r>
          </w:p>
        </w:tc>
        <w:tc>
          <w:tcPr>
            <w:tcW w:w="844" w:type="dxa"/>
            <w:gridSpan w:val="2"/>
            <w:tcBorders>
              <w:top w:val="nil"/>
              <w:left w:val="nil"/>
              <w:bottom w:val="nil"/>
              <w:right w:val="single" w:sz="4" w:space="0" w:color="auto"/>
            </w:tcBorders>
          </w:tcPr>
          <w:p w:rsidR="00F934C1" w:rsidRPr="00BB4B6E" w:rsidRDefault="00F934C1" w:rsidP="00F934C1">
            <w:r w:rsidRPr="00BB4B6E">
              <w:t>0.999</w:t>
            </w:r>
          </w:p>
        </w:tc>
        <w:tc>
          <w:tcPr>
            <w:tcW w:w="1226" w:type="dxa"/>
            <w:tcBorders>
              <w:top w:val="nil"/>
              <w:left w:val="single" w:sz="4" w:space="0" w:color="auto"/>
              <w:bottom w:val="nil"/>
              <w:right w:val="nil"/>
            </w:tcBorders>
          </w:tcPr>
          <w:p w:rsidR="00F934C1" w:rsidRPr="00BB4B6E" w:rsidRDefault="00F934C1" w:rsidP="00F934C1">
            <w:r w:rsidRPr="00BB4B6E">
              <w:t>0.00304</w:t>
            </w:r>
          </w:p>
        </w:tc>
        <w:tc>
          <w:tcPr>
            <w:tcW w:w="1260" w:type="dxa"/>
            <w:tcBorders>
              <w:top w:val="nil"/>
              <w:left w:val="nil"/>
              <w:bottom w:val="nil"/>
              <w:right w:val="nil"/>
            </w:tcBorders>
          </w:tcPr>
          <w:p w:rsidR="00F934C1" w:rsidRPr="00BB4B6E" w:rsidRDefault="00F934C1" w:rsidP="00F934C1">
            <w:r w:rsidRPr="00BB4B6E">
              <w:t>0.693</w:t>
            </w:r>
          </w:p>
        </w:tc>
        <w:tc>
          <w:tcPr>
            <w:tcW w:w="1170" w:type="dxa"/>
            <w:tcBorders>
              <w:top w:val="nil"/>
              <w:left w:val="nil"/>
              <w:bottom w:val="nil"/>
              <w:right w:val="nil"/>
            </w:tcBorders>
          </w:tcPr>
          <w:p w:rsidR="00F934C1" w:rsidRPr="00BB4B6E" w:rsidRDefault="00F934C1" w:rsidP="00F934C1">
            <w:r w:rsidRPr="00BB4B6E">
              <w:t>0.928</w:t>
            </w:r>
          </w:p>
        </w:tc>
      </w:tr>
      <w:tr w:rsidR="00F934C1" w:rsidRPr="00BB4B6E" w:rsidTr="00F934C1">
        <w:tc>
          <w:tcPr>
            <w:tcW w:w="207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Syn nHA+ NPK  </w:t>
            </w:r>
          </w:p>
        </w:tc>
        <w:tc>
          <w:tcPr>
            <w:tcW w:w="1080" w:type="dxa"/>
            <w:tcBorders>
              <w:top w:val="nil"/>
              <w:left w:val="nil"/>
              <w:bottom w:val="nil"/>
              <w:right w:val="nil"/>
            </w:tcBorders>
          </w:tcPr>
          <w:p w:rsidR="00F934C1" w:rsidRPr="00BB4B6E" w:rsidRDefault="00F934C1" w:rsidP="00F934C1">
            <w:r w:rsidRPr="00BB4B6E">
              <w:t>0.002605</w:t>
            </w:r>
          </w:p>
        </w:tc>
        <w:tc>
          <w:tcPr>
            <w:tcW w:w="1080" w:type="dxa"/>
            <w:tcBorders>
              <w:top w:val="nil"/>
              <w:left w:val="nil"/>
              <w:bottom w:val="nil"/>
              <w:right w:val="nil"/>
            </w:tcBorders>
          </w:tcPr>
          <w:p w:rsidR="00F934C1" w:rsidRPr="00BB4B6E" w:rsidRDefault="00F934C1" w:rsidP="00F934C1">
            <w:r w:rsidRPr="00BB4B6E">
              <w:t>0.724</w:t>
            </w:r>
          </w:p>
        </w:tc>
        <w:tc>
          <w:tcPr>
            <w:tcW w:w="844" w:type="dxa"/>
            <w:gridSpan w:val="2"/>
            <w:tcBorders>
              <w:top w:val="nil"/>
              <w:left w:val="nil"/>
              <w:bottom w:val="nil"/>
              <w:right w:val="single" w:sz="4" w:space="0" w:color="auto"/>
            </w:tcBorders>
          </w:tcPr>
          <w:p w:rsidR="00F934C1" w:rsidRPr="00BB4B6E" w:rsidRDefault="00F934C1" w:rsidP="00F934C1">
            <w:r w:rsidRPr="00BB4B6E">
              <w:t>0.999</w:t>
            </w:r>
          </w:p>
        </w:tc>
        <w:tc>
          <w:tcPr>
            <w:tcW w:w="1226" w:type="dxa"/>
            <w:tcBorders>
              <w:top w:val="nil"/>
              <w:left w:val="single" w:sz="4" w:space="0" w:color="auto"/>
              <w:bottom w:val="nil"/>
              <w:right w:val="nil"/>
            </w:tcBorders>
          </w:tcPr>
          <w:p w:rsidR="00F934C1" w:rsidRPr="00BB4B6E" w:rsidRDefault="00F934C1" w:rsidP="00F934C1">
            <w:r w:rsidRPr="00BB4B6E">
              <w:t>0.00259</w:t>
            </w:r>
          </w:p>
        </w:tc>
        <w:tc>
          <w:tcPr>
            <w:tcW w:w="1260" w:type="dxa"/>
            <w:tcBorders>
              <w:top w:val="nil"/>
              <w:left w:val="nil"/>
              <w:bottom w:val="nil"/>
              <w:right w:val="nil"/>
            </w:tcBorders>
          </w:tcPr>
          <w:p w:rsidR="00F934C1" w:rsidRPr="00BB4B6E" w:rsidRDefault="00F934C1" w:rsidP="00F934C1">
            <w:r w:rsidRPr="00BB4B6E">
              <w:t>0.963</w:t>
            </w:r>
          </w:p>
        </w:tc>
        <w:tc>
          <w:tcPr>
            <w:tcW w:w="1170" w:type="dxa"/>
            <w:tcBorders>
              <w:top w:val="nil"/>
              <w:left w:val="nil"/>
              <w:bottom w:val="nil"/>
              <w:right w:val="nil"/>
            </w:tcBorders>
          </w:tcPr>
          <w:p w:rsidR="00F934C1" w:rsidRPr="00BB4B6E" w:rsidRDefault="00F934C1" w:rsidP="00F934C1">
            <w:r w:rsidRPr="00BB4B6E">
              <w:t>0.909</w:t>
            </w:r>
          </w:p>
        </w:tc>
      </w:tr>
      <w:tr w:rsidR="00F934C1" w:rsidRPr="00BB4B6E" w:rsidTr="00F934C1">
        <w:tc>
          <w:tcPr>
            <w:tcW w:w="207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Bone nHA+DAP+NPK </w:t>
            </w:r>
          </w:p>
        </w:tc>
        <w:tc>
          <w:tcPr>
            <w:tcW w:w="1080" w:type="dxa"/>
            <w:tcBorders>
              <w:top w:val="nil"/>
              <w:left w:val="nil"/>
              <w:bottom w:val="nil"/>
              <w:right w:val="nil"/>
            </w:tcBorders>
          </w:tcPr>
          <w:p w:rsidR="00F934C1" w:rsidRPr="00BB4B6E" w:rsidRDefault="00F934C1" w:rsidP="00F934C1">
            <w:r w:rsidRPr="00BB4B6E">
              <w:t>0.002715</w:t>
            </w:r>
          </w:p>
        </w:tc>
        <w:tc>
          <w:tcPr>
            <w:tcW w:w="1080" w:type="dxa"/>
            <w:tcBorders>
              <w:top w:val="nil"/>
              <w:left w:val="nil"/>
              <w:bottom w:val="nil"/>
              <w:right w:val="nil"/>
            </w:tcBorders>
          </w:tcPr>
          <w:p w:rsidR="00F934C1" w:rsidRPr="00BB4B6E" w:rsidRDefault="00F934C1" w:rsidP="00F934C1">
            <w:r w:rsidRPr="00BB4B6E">
              <w:t>0.951</w:t>
            </w:r>
          </w:p>
        </w:tc>
        <w:tc>
          <w:tcPr>
            <w:tcW w:w="844" w:type="dxa"/>
            <w:gridSpan w:val="2"/>
            <w:tcBorders>
              <w:top w:val="nil"/>
              <w:left w:val="nil"/>
              <w:bottom w:val="nil"/>
              <w:right w:val="single" w:sz="4" w:space="0" w:color="auto"/>
            </w:tcBorders>
          </w:tcPr>
          <w:p w:rsidR="00F934C1" w:rsidRPr="00BB4B6E" w:rsidRDefault="00F934C1" w:rsidP="00F934C1">
            <w:r w:rsidRPr="00BB4B6E">
              <w:t>0.998</w:t>
            </w:r>
          </w:p>
        </w:tc>
        <w:tc>
          <w:tcPr>
            <w:tcW w:w="1226" w:type="dxa"/>
            <w:tcBorders>
              <w:top w:val="nil"/>
              <w:left w:val="single" w:sz="4" w:space="0" w:color="auto"/>
              <w:bottom w:val="nil"/>
              <w:right w:val="nil"/>
            </w:tcBorders>
          </w:tcPr>
          <w:p w:rsidR="00F934C1" w:rsidRPr="00BB4B6E" w:rsidRDefault="00F934C1" w:rsidP="00F934C1">
            <w:r w:rsidRPr="00BB4B6E">
              <w:t>0.002939</w:t>
            </w:r>
          </w:p>
        </w:tc>
        <w:tc>
          <w:tcPr>
            <w:tcW w:w="1260" w:type="dxa"/>
            <w:tcBorders>
              <w:top w:val="nil"/>
              <w:left w:val="nil"/>
              <w:bottom w:val="nil"/>
              <w:right w:val="nil"/>
            </w:tcBorders>
          </w:tcPr>
          <w:p w:rsidR="00F934C1" w:rsidRPr="00BB4B6E" w:rsidRDefault="00F934C1" w:rsidP="00F934C1">
            <w:r w:rsidRPr="00BB4B6E">
              <w:t>0.7592</w:t>
            </w:r>
          </w:p>
        </w:tc>
        <w:tc>
          <w:tcPr>
            <w:tcW w:w="1170" w:type="dxa"/>
            <w:tcBorders>
              <w:top w:val="nil"/>
              <w:left w:val="nil"/>
              <w:bottom w:val="nil"/>
              <w:right w:val="nil"/>
            </w:tcBorders>
          </w:tcPr>
          <w:p w:rsidR="00F934C1" w:rsidRPr="00BB4B6E" w:rsidRDefault="00F934C1" w:rsidP="00F934C1">
            <w:r w:rsidRPr="00BB4B6E">
              <w:t>0.927</w:t>
            </w:r>
          </w:p>
        </w:tc>
      </w:tr>
      <w:tr w:rsidR="00F934C1" w:rsidRPr="00BB4B6E" w:rsidTr="00F934C1">
        <w:tc>
          <w:tcPr>
            <w:tcW w:w="2070" w:type="dxa"/>
            <w:tcBorders>
              <w:top w:val="nil"/>
              <w:left w:val="nil"/>
              <w:bottom w:val="single" w:sz="4" w:space="0" w:color="auto"/>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Syn nHA+DAP+NPK </w:t>
            </w:r>
          </w:p>
        </w:tc>
        <w:tc>
          <w:tcPr>
            <w:tcW w:w="1080" w:type="dxa"/>
            <w:tcBorders>
              <w:top w:val="nil"/>
              <w:left w:val="nil"/>
              <w:bottom w:val="single" w:sz="4" w:space="0" w:color="auto"/>
              <w:right w:val="nil"/>
            </w:tcBorders>
          </w:tcPr>
          <w:p w:rsidR="00F934C1" w:rsidRPr="00BB4B6E" w:rsidRDefault="00F934C1" w:rsidP="00F934C1">
            <w:r w:rsidRPr="00BB4B6E">
              <w:t>0.002605</w:t>
            </w:r>
          </w:p>
        </w:tc>
        <w:tc>
          <w:tcPr>
            <w:tcW w:w="1080" w:type="dxa"/>
            <w:tcBorders>
              <w:top w:val="nil"/>
              <w:left w:val="nil"/>
              <w:bottom w:val="single" w:sz="4" w:space="0" w:color="auto"/>
              <w:right w:val="nil"/>
            </w:tcBorders>
          </w:tcPr>
          <w:p w:rsidR="00F934C1" w:rsidRPr="00BB4B6E" w:rsidRDefault="00F934C1" w:rsidP="00F934C1">
            <w:r w:rsidRPr="00BB4B6E">
              <w:t>0.982</w:t>
            </w:r>
          </w:p>
        </w:tc>
        <w:tc>
          <w:tcPr>
            <w:tcW w:w="844" w:type="dxa"/>
            <w:gridSpan w:val="2"/>
            <w:tcBorders>
              <w:top w:val="nil"/>
              <w:left w:val="nil"/>
              <w:bottom w:val="single" w:sz="4" w:space="0" w:color="auto"/>
              <w:right w:val="single" w:sz="4" w:space="0" w:color="auto"/>
            </w:tcBorders>
          </w:tcPr>
          <w:p w:rsidR="00F934C1" w:rsidRPr="00BB4B6E" w:rsidRDefault="00F934C1" w:rsidP="00F934C1">
            <w:r w:rsidRPr="00BB4B6E">
              <w:t>0.997</w:t>
            </w:r>
          </w:p>
        </w:tc>
        <w:tc>
          <w:tcPr>
            <w:tcW w:w="1226" w:type="dxa"/>
            <w:tcBorders>
              <w:top w:val="nil"/>
              <w:left w:val="single" w:sz="4" w:space="0" w:color="auto"/>
              <w:bottom w:val="single" w:sz="4" w:space="0" w:color="auto"/>
              <w:right w:val="nil"/>
            </w:tcBorders>
          </w:tcPr>
          <w:p w:rsidR="00F934C1" w:rsidRPr="00BB4B6E" w:rsidRDefault="00F934C1" w:rsidP="00F934C1">
            <w:r w:rsidRPr="00BB4B6E">
              <w:t>0.003039</w:t>
            </w:r>
          </w:p>
        </w:tc>
        <w:tc>
          <w:tcPr>
            <w:tcW w:w="1260" w:type="dxa"/>
            <w:tcBorders>
              <w:top w:val="nil"/>
              <w:left w:val="nil"/>
              <w:bottom w:val="single" w:sz="4" w:space="0" w:color="auto"/>
              <w:right w:val="nil"/>
            </w:tcBorders>
          </w:tcPr>
          <w:p w:rsidR="00F934C1" w:rsidRPr="00BB4B6E" w:rsidRDefault="00F934C1" w:rsidP="00F934C1">
            <w:r w:rsidRPr="00BB4B6E">
              <w:t>0.7496</w:t>
            </w:r>
          </w:p>
        </w:tc>
        <w:tc>
          <w:tcPr>
            <w:tcW w:w="1170" w:type="dxa"/>
            <w:tcBorders>
              <w:top w:val="nil"/>
              <w:left w:val="nil"/>
              <w:bottom w:val="single" w:sz="4" w:space="0" w:color="auto"/>
              <w:right w:val="nil"/>
            </w:tcBorders>
          </w:tcPr>
          <w:p w:rsidR="00F934C1" w:rsidRPr="00BB4B6E" w:rsidRDefault="00F934C1" w:rsidP="00F934C1">
            <w:r w:rsidRPr="00BB4B6E">
              <w:t>0.918</w:t>
            </w:r>
          </w:p>
        </w:tc>
      </w:tr>
    </w:tbl>
    <w:p w:rsidR="00F934C1" w:rsidRPr="00BB4B6E" w:rsidRDefault="00F934C1" w:rsidP="00F934C1">
      <w:pPr>
        <w:rPr>
          <w:color w:val="000000" w:themeColor="text1"/>
        </w:rPr>
      </w:pPr>
    </w:p>
    <w:p w:rsidR="00F934C1" w:rsidRPr="00BB4B6E" w:rsidRDefault="00F934C1" w:rsidP="00F934C1">
      <w:pPr>
        <w:rPr>
          <w:color w:val="000000" w:themeColor="text1"/>
        </w:rPr>
      </w:pPr>
      <w:r w:rsidRPr="00BB4B6E">
        <w:rPr>
          <w:color w:val="000000" w:themeColor="text1"/>
        </w:rPr>
        <w:t>The pseudo 1</w:t>
      </w:r>
      <w:r w:rsidRPr="00BB4B6E">
        <w:rPr>
          <w:color w:val="000000" w:themeColor="text1"/>
          <w:vertAlign w:val="superscript"/>
        </w:rPr>
        <w:t>st</w:t>
      </w:r>
      <w:r w:rsidRPr="00BB4B6E">
        <w:rPr>
          <w:color w:val="000000" w:themeColor="text1"/>
        </w:rPr>
        <w:t xml:space="preserve"> order and the pseudo 2</w:t>
      </w:r>
      <w:r w:rsidRPr="00BB4B6E">
        <w:rPr>
          <w:color w:val="000000" w:themeColor="text1"/>
          <w:vertAlign w:val="superscript"/>
        </w:rPr>
        <w:t>nd</w:t>
      </w:r>
      <w:r w:rsidRPr="00BB4B6E">
        <w:rPr>
          <w:color w:val="000000" w:themeColor="text1"/>
        </w:rPr>
        <w:t xml:space="preserve"> order adsorption models were used to explain on the adsorption kinetics mechanisms of the nano-fertilizer adsorbents. The coefficient of correlation (R</w:t>
      </w:r>
      <w:r w:rsidRPr="00BB4B6E">
        <w:rPr>
          <w:color w:val="000000" w:themeColor="text1"/>
          <w:vertAlign w:val="superscript"/>
        </w:rPr>
        <w:t>2</w:t>
      </w:r>
      <w:r w:rsidRPr="00BB4B6E">
        <w:rPr>
          <w:color w:val="000000" w:themeColor="text1"/>
        </w:rPr>
        <w:t xml:space="preserve"> values) were obtained from these linear plots and the figures for Cd adsorption indicate R</w:t>
      </w:r>
      <w:r w:rsidRPr="00BB4B6E">
        <w:rPr>
          <w:color w:val="000000" w:themeColor="text1"/>
          <w:vertAlign w:val="superscript"/>
        </w:rPr>
        <w:t xml:space="preserve">2 </w:t>
      </w:r>
      <w:r w:rsidRPr="00BB4B6E">
        <w:rPr>
          <w:color w:val="000000" w:themeColor="text1"/>
        </w:rPr>
        <w:t>&gt; 0.995, signifying a better fit than Pb whose R</w:t>
      </w:r>
      <w:r w:rsidRPr="00BB4B6E">
        <w:rPr>
          <w:color w:val="000000" w:themeColor="text1"/>
          <w:vertAlign w:val="superscript"/>
        </w:rPr>
        <w:t>2</w:t>
      </w:r>
      <w:r w:rsidRPr="00BB4B6E">
        <w:rPr>
          <w:color w:val="000000" w:themeColor="text1"/>
        </w:rPr>
        <w:t xml:space="preserve"> ˂ 0.95 (Table 4.17). The results also indicated that bone nanofertilizers had higher adsorption capacity (Q</w:t>
      </w:r>
      <w:r w:rsidRPr="00BB4B6E">
        <w:rPr>
          <w:color w:val="000000" w:themeColor="text1"/>
          <w:vertAlign w:val="subscript"/>
        </w:rPr>
        <w:t>e</w:t>
      </w:r>
      <w:r w:rsidRPr="00BB4B6E">
        <w:rPr>
          <w:color w:val="000000" w:themeColor="text1"/>
        </w:rPr>
        <w:t>) values than the synthetic nanofertilizers. Also the pseudo 1</w:t>
      </w:r>
      <w:r w:rsidRPr="00BB4B6E">
        <w:rPr>
          <w:color w:val="000000" w:themeColor="text1"/>
          <w:vertAlign w:val="superscript"/>
        </w:rPr>
        <w:t>st</w:t>
      </w:r>
      <w:r w:rsidRPr="00BB4B6E">
        <w:rPr>
          <w:color w:val="000000" w:themeColor="text1"/>
        </w:rPr>
        <w:t xml:space="preserve"> order constant (K</w:t>
      </w:r>
      <w:r w:rsidRPr="00BB4B6E">
        <w:rPr>
          <w:color w:val="000000" w:themeColor="text1"/>
          <w:vertAlign w:val="subscript"/>
        </w:rPr>
        <w:t>1</w:t>
      </w:r>
      <w:r w:rsidRPr="00BB4B6E">
        <w:rPr>
          <w:color w:val="000000" w:themeColor="text1"/>
        </w:rPr>
        <w:t>) values were lower in bone nanofertilizers than synthetic nanofertilizers. This explains why bone nanofertilizers have higher adsorption efficiency than synthetic nanofertilizers.</w:t>
      </w:r>
    </w:p>
    <w:p w:rsidR="00F934C1" w:rsidRPr="00BB4B6E" w:rsidRDefault="00F934C1" w:rsidP="00F934C1">
      <w:pPr>
        <w:rPr>
          <w:color w:val="000000" w:themeColor="text1"/>
        </w:rPr>
      </w:pPr>
    </w:p>
    <w:p w:rsidR="00F934C1" w:rsidRPr="00BB4B6E" w:rsidRDefault="00F934C1" w:rsidP="00F934C1">
      <w:pPr>
        <w:rPr>
          <w:color w:val="000000" w:themeColor="text1"/>
        </w:rPr>
      </w:pPr>
      <w:r w:rsidRPr="00BB4B6E">
        <w:rPr>
          <w:color w:val="000000" w:themeColor="text1"/>
        </w:rPr>
        <w:t>The results for pseudo second order equation parameters K</w:t>
      </w:r>
      <w:r w:rsidRPr="00BB4B6E">
        <w:rPr>
          <w:color w:val="000000" w:themeColor="text1"/>
          <w:vertAlign w:val="subscript"/>
        </w:rPr>
        <w:t>2</w:t>
      </w:r>
      <w:r w:rsidRPr="00BB4B6E">
        <w:rPr>
          <w:color w:val="000000" w:themeColor="text1"/>
        </w:rPr>
        <w:t>, Q</w:t>
      </w:r>
      <w:r w:rsidRPr="00BB4B6E">
        <w:rPr>
          <w:color w:val="000000" w:themeColor="text1"/>
          <w:vertAlign w:val="subscript"/>
        </w:rPr>
        <w:t xml:space="preserve">e </w:t>
      </w:r>
      <w:r w:rsidRPr="00BB4B6E">
        <w:rPr>
          <w:color w:val="000000" w:themeColor="text1"/>
        </w:rPr>
        <w:t>and R</w:t>
      </w:r>
      <w:r w:rsidRPr="00BB4B6E">
        <w:rPr>
          <w:color w:val="000000" w:themeColor="text1"/>
          <w:vertAlign w:val="superscript"/>
        </w:rPr>
        <w:t>2</w:t>
      </w:r>
      <w:r w:rsidRPr="00BB4B6E">
        <w:rPr>
          <w:color w:val="000000" w:themeColor="text1"/>
        </w:rPr>
        <w:t>, for all the eight treatments were calculated and recorded in Table 4.20.</w:t>
      </w:r>
    </w:p>
    <w:p w:rsidR="00F934C1" w:rsidRPr="00BB4B6E" w:rsidRDefault="00F934C1" w:rsidP="00F934C1">
      <w:pPr>
        <w:pStyle w:val="Heading4"/>
      </w:pPr>
      <w:bookmarkStart w:id="272" w:name="_Toc120047586"/>
      <w:bookmarkStart w:id="273" w:name="_Toc144222351"/>
      <w:r w:rsidRPr="00BB4B6E">
        <w:rPr>
          <w:color w:val="auto"/>
        </w:rPr>
        <w:lastRenderedPageBreak/>
        <w:t>Table 4.20: Second</w:t>
      </w:r>
      <w:r w:rsidRPr="00BB4B6E">
        <w:t xml:space="preserve"> order pseudo kinetic parameters</w:t>
      </w:r>
      <w:bookmarkEnd w:id="272"/>
      <w:bookmarkEnd w:id="273"/>
    </w:p>
    <w:tbl>
      <w:tblPr>
        <w:tblStyle w:val="TableGrid"/>
        <w:tblW w:w="8820" w:type="dxa"/>
        <w:tblInd w:w="108" w:type="dxa"/>
        <w:tblLayout w:type="fixed"/>
        <w:tblLook w:val="04A0" w:firstRow="1" w:lastRow="0" w:firstColumn="1" w:lastColumn="0" w:noHBand="0" w:noVBand="1"/>
      </w:tblPr>
      <w:tblGrid>
        <w:gridCol w:w="1980"/>
        <w:gridCol w:w="1080"/>
        <w:gridCol w:w="1350"/>
        <w:gridCol w:w="810"/>
        <w:gridCol w:w="1170"/>
        <w:gridCol w:w="1260"/>
        <w:gridCol w:w="1170"/>
      </w:tblGrid>
      <w:tr w:rsidR="00F934C1" w:rsidRPr="00BB4B6E" w:rsidTr="00F934C1">
        <w:tc>
          <w:tcPr>
            <w:tcW w:w="1980" w:type="dxa"/>
            <w:tcBorders>
              <w:left w:val="nil"/>
              <w:bottom w:val="single" w:sz="4" w:space="0" w:color="auto"/>
              <w:right w:val="nil"/>
            </w:tcBorders>
          </w:tcPr>
          <w:p w:rsidR="00F934C1" w:rsidRPr="00BB4B6E" w:rsidRDefault="00F934C1" w:rsidP="00F934C1">
            <w:pPr>
              <w:spacing w:line="240" w:lineRule="auto"/>
            </w:pPr>
            <w:r w:rsidRPr="00BB4B6E">
              <w:t>ADSORBENT</w:t>
            </w:r>
          </w:p>
        </w:tc>
        <w:tc>
          <w:tcPr>
            <w:tcW w:w="1080" w:type="dxa"/>
            <w:tcBorders>
              <w:left w:val="nil"/>
              <w:bottom w:val="single" w:sz="4" w:space="0" w:color="auto"/>
              <w:right w:val="nil"/>
            </w:tcBorders>
          </w:tcPr>
          <w:p w:rsidR="00F934C1" w:rsidRPr="00BB4B6E" w:rsidRDefault="00F934C1" w:rsidP="00F934C1">
            <w:pPr>
              <w:spacing w:line="240" w:lineRule="auto"/>
            </w:pPr>
          </w:p>
        </w:tc>
        <w:tc>
          <w:tcPr>
            <w:tcW w:w="1350" w:type="dxa"/>
            <w:tcBorders>
              <w:left w:val="nil"/>
              <w:bottom w:val="single" w:sz="4" w:space="0" w:color="auto"/>
              <w:right w:val="nil"/>
            </w:tcBorders>
          </w:tcPr>
          <w:p w:rsidR="00F934C1" w:rsidRPr="00BB4B6E" w:rsidRDefault="00F934C1" w:rsidP="00F934C1">
            <w:pPr>
              <w:spacing w:line="240" w:lineRule="auto"/>
            </w:pPr>
            <w:r w:rsidRPr="00BB4B6E">
              <w:t>Cd</w:t>
            </w:r>
            <w:r w:rsidRPr="00BB4B6E">
              <w:rPr>
                <w:vertAlign w:val="superscript"/>
              </w:rPr>
              <w:t>2+</w:t>
            </w:r>
            <w:r w:rsidRPr="00BB4B6E">
              <w:t xml:space="preserve"> kinetic parameters</w:t>
            </w:r>
          </w:p>
        </w:tc>
        <w:tc>
          <w:tcPr>
            <w:tcW w:w="810" w:type="dxa"/>
            <w:tcBorders>
              <w:left w:val="nil"/>
              <w:bottom w:val="single" w:sz="4" w:space="0" w:color="auto"/>
              <w:right w:val="single" w:sz="4" w:space="0" w:color="auto"/>
            </w:tcBorders>
          </w:tcPr>
          <w:p w:rsidR="00F934C1" w:rsidRPr="00BB4B6E" w:rsidRDefault="00F934C1" w:rsidP="00F934C1">
            <w:pPr>
              <w:spacing w:line="240" w:lineRule="auto"/>
            </w:pPr>
          </w:p>
        </w:tc>
        <w:tc>
          <w:tcPr>
            <w:tcW w:w="1170" w:type="dxa"/>
            <w:tcBorders>
              <w:left w:val="single" w:sz="4" w:space="0" w:color="auto"/>
              <w:bottom w:val="single" w:sz="4" w:space="0" w:color="auto"/>
              <w:right w:val="nil"/>
            </w:tcBorders>
          </w:tcPr>
          <w:p w:rsidR="00F934C1" w:rsidRPr="00BB4B6E" w:rsidRDefault="00F934C1" w:rsidP="00F934C1">
            <w:pPr>
              <w:spacing w:line="240" w:lineRule="auto"/>
            </w:pPr>
          </w:p>
        </w:tc>
        <w:tc>
          <w:tcPr>
            <w:tcW w:w="1260" w:type="dxa"/>
            <w:tcBorders>
              <w:left w:val="nil"/>
              <w:bottom w:val="single" w:sz="4" w:space="0" w:color="auto"/>
              <w:right w:val="nil"/>
            </w:tcBorders>
          </w:tcPr>
          <w:p w:rsidR="00F934C1" w:rsidRPr="00BB4B6E" w:rsidRDefault="00F934C1" w:rsidP="00F934C1">
            <w:pPr>
              <w:spacing w:line="240" w:lineRule="auto"/>
            </w:pPr>
            <w:r w:rsidRPr="00BB4B6E">
              <w:t>Pb</w:t>
            </w:r>
            <w:r w:rsidRPr="00BB4B6E">
              <w:rPr>
                <w:vertAlign w:val="superscript"/>
              </w:rPr>
              <w:t>2+</w:t>
            </w:r>
            <w:r w:rsidRPr="00BB4B6E">
              <w:t xml:space="preserve"> kinetic parameters</w:t>
            </w:r>
          </w:p>
        </w:tc>
        <w:tc>
          <w:tcPr>
            <w:tcW w:w="1170" w:type="dxa"/>
            <w:tcBorders>
              <w:left w:val="nil"/>
              <w:bottom w:val="single" w:sz="4" w:space="0" w:color="auto"/>
              <w:right w:val="nil"/>
            </w:tcBorders>
          </w:tcPr>
          <w:p w:rsidR="00F934C1" w:rsidRPr="00BB4B6E" w:rsidRDefault="00F934C1" w:rsidP="00F934C1">
            <w:pPr>
              <w:spacing w:line="240" w:lineRule="auto"/>
            </w:pPr>
          </w:p>
        </w:tc>
      </w:tr>
      <w:tr w:rsidR="00F934C1" w:rsidRPr="00BB4B6E" w:rsidTr="00F934C1">
        <w:tc>
          <w:tcPr>
            <w:tcW w:w="1980" w:type="dxa"/>
            <w:tcBorders>
              <w:top w:val="single" w:sz="4" w:space="0" w:color="auto"/>
              <w:left w:val="nil"/>
              <w:bottom w:val="single" w:sz="4" w:space="0" w:color="auto"/>
              <w:right w:val="nil"/>
            </w:tcBorders>
          </w:tcPr>
          <w:p w:rsidR="00F934C1" w:rsidRPr="00BB4B6E" w:rsidRDefault="00F934C1" w:rsidP="00F934C1">
            <w:pPr>
              <w:spacing w:line="240" w:lineRule="auto"/>
            </w:pPr>
          </w:p>
        </w:tc>
        <w:tc>
          <w:tcPr>
            <w:tcW w:w="1080" w:type="dxa"/>
            <w:tcBorders>
              <w:top w:val="single" w:sz="4" w:space="0" w:color="auto"/>
              <w:left w:val="nil"/>
              <w:bottom w:val="single" w:sz="4" w:space="0" w:color="auto"/>
              <w:right w:val="nil"/>
            </w:tcBorders>
          </w:tcPr>
          <w:p w:rsidR="00F934C1" w:rsidRPr="00BB4B6E" w:rsidRDefault="00F934C1" w:rsidP="00F934C1">
            <w:r w:rsidRPr="00BB4B6E">
              <w:t>K</w:t>
            </w:r>
            <w:r w:rsidRPr="00BB4B6E">
              <w:rPr>
                <w:vertAlign w:val="subscript"/>
              </w:rPr>
              <w:t>1</w:t>
            </w:r>
          </w:p>
        </w:tc>
        <w:tc>
          <w:tcPr>
            <w:tcW w:w="1350" w:type="dxa"/>
            <w:tcBorders>
              <w:top w:val="single" w:sz="4" w:space="0" w:color="auto"/>
              <w:left w:val="nil"/>
              <w:bottom w:val="single" w:sz="4" w:space="0" w:color="auto"/>
              <w:right w:val="nil"/>
            </w:tcBorders>
          </w:tcPr>
          <w:p w:rsidR="00F934C1" w:rsidRPr="00BB4B6E" w:rsidRDefault="00F934C1" w:rsidP="00F934C1">
            <w:r w:rsidRPr="00BB4B6E">
              <w:t>Q</w:t>
            </w:r>
            <w:r w:rsidRPr="00BB4B6E">
              <w:rPr>
                <w:vertAlign w:val="subscript"/>
              </w:rPr>
              <w:t>e</w:t>
            </w:r>
          </w:p>
        </w:tc>
        <w:tc>
          <w:tcPr>
            <w:tcW w:w="810" w:type="dxa"/>
            <w:tcBorders>
              <w:top w:val="single" w:sz="4" w:space="0" w:color="auto"/>
              <w:left w:val="nil"/>
              <w:bottom w:val="single" w:sz="4" w:space="0" w:color="auto"/>
              <w:right w:val="single" w:sz="4" w:space="0" w:color="auto"/>
            </w:tcBorders>
          </w:tcPr>
          <w:p w:rsidR="00F934C1" w:rsidRPr="00BB4B6E" w:rsidRDefault="00F934C1" w:rsidP="00F934C1">
            <w:r w:rsidRPr="00BB4B6E">
              <w:t>R</w:t>
            </w:r>
            <w:r w:rsidRPr="00BB4B6E">
              <w:rPr>
                <w:vertAlign w:val="superscript"/>
              </w:rPr>
              <w:t>2</w:t>
            </w:r>
          </w:p>
        </w:tc>
        <w:tc>
          <w:tcPr>
            <w:tcW w:w="1170" w:type="dxa"/>
            <w:tcBorders>
              <w:top w:val="single" w:sz="4" w:space="0" w:color="auto"/>
              <w:left w:val="single" w:sz="4" w:space="0" w:color="auto"/>
              <w:bottom w:val="single" w:sz="4" w:space="0" w:color="auto"/>
              <w:right w:val="nil"/>
            </w:tcBorders>
          </w:tcPr>
          <w:p w:rsidR="00F934C1" w:rsidRPr="00BB4B6E" w:rsidRDefault="00F934C1" w:rsidP="00F934C1">
            <w:r w:rsidRPr="00BB4B6E">
              <w:t>K</w:t>
            </w:r>
            <w:r w:rsidRPr="00BB4B6E">
              <w:rPr>
                <w:vertAlign w:val="subscript"/>
              </w:rPr>
              <w:t>1</w:t>
            </w:r>
          </w:p>
        </w:tc>
        <w:tc>
          <w:tcPr>
            <w:tcW w:w="1260" w:type="dxa"/>
            <w:tcBorders>
              <w:top w:val="single" w:sz="4" w:space="0" w:color="auto"/>
              <w:left w:val="nil"/>
              <w:bottom w:val="single" w:sz="4" w:space="0" w:color="auto"/>
              <w:right w:val="nil"/>
            </w:tcBorders>
          </w:tcPr>
          <w:p w:rsidR="00F934C1" w:rsidRPr="00BB4B6E" w:rsidRDefault="00F934C1" w:rsidP="00F934C1">
            <w:r w:rsidRPr="00BB4B6E">
              <w:t>Q</w:t>
            </w:r>
            <w:r w:rsidRPr="00BB4B6E">
              <w:rPr>
                <w:vertAlign w:val="subscript"/>
              </w:rPr>
              <w:t>e</w:t>
            </w:r>
          </w:p>
        </w:tc>
        <w:tc>
          <w:tcPr>
            <w:tcW w:w="1170" w:type="dxa"/>
            <w:tcBorders>
              <w:top w:val="single" w:sz="4" w:space="0" w:color="auto"/>
              <w:left w:val="nil"/>
              <w:bottom w:val="single" w:sz="4" w:space="0" w:color="auto"/>
              <w:right w:val="nil"/>
            </w:tcBorders>
          </w:tcPr>
          <w:p w:rsidR="00F934C1" w:rsidRPr="00BB4B6E" w:rsidRDefault="00F934C1" w:rsidP="00F934C1">
            <w:r w:rsidRPr="00BB4B6E">
              <w:t>R</w:t>
            </w:r>
            <w:r w:rsidRPr="00BB4B6E">
              <w:rPr>
                <w:vertAlign w:val="superscript"/>
              </w:rPr>
              <w:t>2</w:t>
            </w:r>
          </w:p>
        </w:tc>
      </w:tr>
      <w:tr w:rsidR="00F934C1" w:rsidRPr="00BB4B6E" w:rsidTr="00F934C1">
        <w:tc>
          <w:tcPr>
            <w:tcW w:w="1980" w:type="dxa"/>
            <w:tcBorders>
              <w:top w:val="single" w:sz="4" w:space="0" w:color="auto"/>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Bone nHA </w:t>
            </w:r>
          </w:p>
        </w:tc>
        <w:tc>
          <w:tcPr>
            <w:tcW w:w="1080" w:type="dxa"/>
            <w:tcBorders>
              <w:top w:val="single" w:sz="4" w:space="0" w:color="auto"/>
              <w:left w:val="nil"/>
              <w:bottom w:val="nil"/>
              <w:right w:val="nil"/>
            </w:tcBorders>
          </w:tcPr>
          <w:p w:rsidR="00F934C1" w:rsidRPr="00BB4B6E" w:rsidRDefault="00F934C1" w:rsidP="00F934C1">
            <w:r w:rsidRPr="00BB4B6E">
              <w:t>0.00446</w:t>
            </w:r>
          </w:p>
        </w:tc>
        <w:tc>
          <w:tcPr>
            <w:tcW w:w="1350" w:type="dxa"/>
            <w:tcBorders>
              <w:top w:val="single" w:sz="4" w:space="0" w:color="auto"/>
              <w:left w:val="nil"/>
              <w:bottom w:val="nil"/>
              <w:right w:val="nil"/>
            </w:tcBorders>
          </w:tcPr>
          <w:p w:rsidR="00F934C1" w:rsidRPr="00BB4B6E" w:rsidRDefault="00F934C1" w:rsidP="00F934C1">
            <w:r w:rsidRPr="00BB4B6E">
              <w:t>30.30</w:t>
            </w:r>
          </w:p>
        </w:tc>
        <w:tc>
          <w:tcPr>
            <w:tcW w:w="810" w:type="dxa"/>
            <w:tcBorders>
              <w:top w:val="single" w:sz="4" w:space="0" w:color="auto"/>
              <w:left w:val="nil"/>
              <w:bottom w:val="nil"/>
              <w:right w:val="single" w:sz="4" w:space="0" w:color="auto"/>
            </w:tcBorders>
          </w:tcPr>
          <w:p w:rsidR="00F934C1" w:rsidRPr="00BB4B6E" w:rsidRDefault="00F934C1" w:rsidP="00F934C1">
            <w:r w:rsidRPr="00BB4B6E">
              <w:t>0.928</w:t>
            </w:r>
          </w:p>
        </w:tc>
        <w:tc>
          <w:tcPr>
            <w:tcW w:w="1170" w:type="dxa"/>
            <w:tcBorders>
              <w:top w:val="single" w:sz="4" w:space="0" w:color="auto"/>
              <w:left w:val="single" w:sz="4" w:space="0" w:color="auto"/>
              <w:bottom w:val="nil"/>
              <w:right w:val="nil"/>
            </w:tcBorders>
          </w:tcPr>
          <w:p w:rsidR="00F934C1" w:rsidRPr="00BB4B6E" w:rsidRDefault="00F934C1" w:rsidP="00F934C1">
            <w:r w:rsidRPr="00BB4B6E">
              <w:t>0.004289</w:t>
            </w:r>
          </w:p>
        </w:tc>
        <w:tc>
          <w:tcPr>
            <w:tcW w:w="1260" w:type="dxa"/>
            <w:tcBorders>
              <w:top w:val="single" w:sz="4" w:space="0" w:color="auto"/>
              <w:left w:val="nil"/>
              <w:bottom w:val="nil"/>
              <w:right w:val="nil"/>
            </w:tcBorders>
          </w:tcPr>
          <w:p w:rsidR="00F934C1" w:rsidRPr="00BB4B6E" w:rsidRDefault="00F934C1" w:rsidP="00F934C1">
            <w:r w:rsidRPr="00BB4B6E">
              <w:t>31.15</w:t>
            </w:r>
          </w:p>
        </w:tc>
        <w:tc>
          <w:tcPr>
            <w:tcW w:w="1170" w:type="dxa"/>
            <w:tcBorders>
              <w:top w:val="single" w:sz="4" w:space="0" w:color="auto"/>
              <w:left w:val="nil"/>
              <w:bottom w:val="nil"/>
              <w:right w:val="nil"/>
            </w:tcBorders>
          </w:tcPr>
          <w:p w:rsidR="00F934C1" w:rsidRPr="00BB4B6E" w:rsidRDefault="00F934C1" w:rsidP="00F934C1">
            <w:r w:rsidRPr="00BB4B6E">
              <w:t>0.999</w:t>
            </w:r>
          </w:p>
        </w:tc>
      </w:tr>
      <w:tr w:rsidR="00F934C1" w:rsidRPr="00BB4B6E" w:rsidTr="00F934C1">
        <w:tc>
          <w:tcPr>
            <w:tcW w:w="198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Syn nHA </w:t>
            </w:r>
          </w:p>
        </w:tc>
        <w:tc>
          <w:tcPr>
            <w:tcW w:w="1080" w:type="dxa"/>
            <w:tcBorders>
              <w:top w:val="nil"/>
              <w:left w:val="nil"/>
              <w:bottom w:val="nil"/>
              <w:right w:val="nil"/>
            </w:tcBorders>
          </w:tcPr>
          <w:p w:rsidR="00F934C1" w:rsidRPr="00BB4B6E" w:rsidRDefault="00F934C1" w:rsidP="00F934C1">
            <w:r w:rsidRPr="00BB4B6E">
              <w:t>0.00437</w:t>
            </w:r>
          </w:p>
        </w:tc>
        <w:tc>
          <w:tcPr>
            <w:tcW w:w="1350" w:type="dxa"/>
            <w:tcBorders>
              <w:top w:val="nil"/>
              <w:left w:val="nil"/>
              <w:bottom w:val="nil"/>
              <w:right w:val="nil"/>
            </w:tcBorders>
          </w:tcPr>
          <w:p w:rsidR="00F934C1" w:rsidRPr="00BB4B6E" w:rsidRDefault="00F934C1" w:rsidP="00F934C1">
            <w:r w:rsidRPr="00BB4B6E">
              <w:t>30.21</w:t>
            </w:r>
          </w:p>
        </w:tc>
        <w:tc>
          <w:tcPr>
            <w:tcW w:w="810" w:type="dxa"/>
            <w:tcBorders>
              <w:top w:val="nil"/>
              <w:left w:val="nil"/>
              <w:bottom w:val="nil"/>
              <w:right w:val="single" w:sz="4" w:space="0" w:color="auto"/>
            </w:tcBorders>
          </w:tcPr>
          <w:p w:rsidR="00F934C1" w:rsidRPr="00BB4B6E" w:rsidRDefault="00F934C1" w:rsidP="00F934C1">
            <w:r w:rsidRPr="00BB4B6E">
              <w:t>0.928</w:t>
            </w:r>
          </w:p>
        </w:tc>
        <w:tc>
          <w:tcPr>
            <w:tcW w:w="1170" w:type="dxa"/>
            <w:tcBorders>
              <w:top w:val="nil"/>
              <w:left w:val="single" w:sz="4" w:space="0" w:color="auto"/>
              <w:bottom w:val="nil"/>
              <w:right w:val="nil"/>
            </w:tcBorders>
          </w:tcPr>
          <w:p w:rsidR="00F934C1" w:rsidRPr="00BB4B6E" w:rsidRDefault="00F934C1" w:rsidP="00F934C1">
            <w:r w:rsidRPr="00BB4B6E">
              <w:t>0.00314</w:t>
            </w:r>
          </w:p>
        </w:tc>
        <w:tc>
          <w:tcPr>
            <w:tcW w:w="1260" w:type="dxa"/>
            <w:tcBorders>
              <w:top w:val="nil"/>
              <w:left w:val="nil"/>
              <w:bottom w:val="nil"/>
              <w:right w:val="nil"/>
            </w:tcBorders>
          </w:tcPr>
          <w:p w:rsidR="00F934C1" w:rsidRPr="00BB4B6E" w:rsidRDefault="00F934C1" w:rsidP="00F934C1">
            <w:r w:rsidRPr="00BB4B6E">
              <w:t>30.12</w:t>
            </w:r>
          </w:p>
        </w:tc>
        <w:tc>
          <w:tcPr>
            <w:tcW w:w="1170" w:type="dxa"/>
            <w:tcBorders>
              <w:top w:val="nil"/>
              <w:left w:val="nil"/>
              <w:bottom w:val="nil"/>
              <w:right w:val="nil"/>
            </w:tcBorders>
          </w:tcPr>
          <w:p w:rsidR="00F934C1" w:rsidRPr="00BB4B6E" w:rsidRDefault="00F934C1" w:rsidP="00F934C1">
            <w:r w:rsidRPr="00BB4B6E">
              <w:t>0.999</w:t>
            </w:r>
          </w:p>
        </w:tc>
      </w:tr>
      <w:tr w:rsidR="00F934C1" w:rsidRPr="00BB4B6E" w:rsidTr="00F934C1">
        <w:tc>
          <w:tcPr>
            <w:tcW w:w="198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Bone nHA +DAP </w:t>
            </w:r>
          </w:p>
        </w:tc>
        <w:tc>
          <w:tcPr>
            <w:tcW w:w="1080" w:type="dxa"/>
            <w:tcBorders>
              <w:top w:val="nil"/>
              <w:left w:val="nil"/>
              <w:bottom w:val="nil"/>
              <w:right w:val="nil"/>
            </w:tcBorders>
          </w:tcPr>
          <w:p w:rsidR="00F934C1" w:rsidRPr="00BB4B6E" w:rsidRDefault="00F934C1" w:rsidP="00F934C1">
            <w:r w:rsidRPr="00BB4B6E">
              <w:t>0.00333</w:t>
            </w:r>
          </w:p>
        </w:tc>
        <w:tc>
          <w:tcPr>
            <w:tcW w:w="1350" w:type="dxa"/>
            <w:tcBorders>
              <w:top w:val="nil"/>
              <w:left w:val="nil"/>
              <w:bottom w:val="nil"/>
              <w:right w:val="nil"/>
            </w:tcBorders>
          </w:tcPr>
          <w:p w:rsidR="00F934C1" w:rsidRPr="00BB4B6E" w:rsidRDefault="00F934C1" w:rsidP="00F934C1">
            <w:r w:rsidRPr="00BB4B6E">
              <w:t>31.25</w:t>
            </w:r>
          </w:p>
        </w:tc>
        <w:tc>
          <w:tcPr>
            <w:tcW w:w="810" w:type="dxa"/>
            <w:tcBorders>
              <w:top w:val="nil"/>
              <w:left w:val="nil"/>
              <w:bottom w:val="nil"/>
              <w:right w:val="single" w:sz="4" w:space="0" w:color="auto"/>
            </w:tcBorders>
          </w:tcPr>
          <w:p w:rsidR="00F934C1" w:rsidRPr="00BB4B6E" w:rsidRDefault="00F934C1" w:rsidP="00F934C1">
            <w:r w:rsidRPr="00BB4B6E">
              <w:t>0.848</w:t>
            </w:r>
          </w:p>
        </w:tc>
        <w:tc>
          <w:tcPr>
            <w:tcW w:w="1170" w:type="dxa"/>
            <w:tcBorders>
              <w:top w:val="nil"/>
              <w:left w:val="single" w:sz="4" w:space="0" w:color="auto"/>
              <w:bottom w:val="nil"/>
              <w:right w:val="nil"/>
            </w:tcBorders>
          </w:tcPr>
          <w:p w:rsidR="00F934C1" w:rsidRPr="00BB4B6E" w:rsidRDefault="00F934C1" w:rsidP="00F934C1">
            <w:r w:rsidRPr="00BB4B6E">
              <w:t>0.006184</w:t>
            </w:r>
          </w:p>
        </w:tc>
        <w:tc>
          <w:tcPr>
            <w:tcW w:w="1260" w:type="dxa"/>
            <w:tcBorders>
              <w:top w:val="nil"/>
              <w:left w:val="nil"/>
              <w:bottom w:val="nil"/>
              <w:right w:val="nil"/>
            </w:tcBorders>
          </w:tcPr>
          <w:p w:rsidR="00F934C1" w:rsidRPr="00BB4B6E" w:rsidRDefault="00F934C1" w:rsidP="00F934C1">
            <w:r w:rsidRPr="00BB4B6E">
              <w:t>29.41</w:t>
            </w:r>
          </w:p>
        </w:tc>
        <w:tc>
          <w:tcPr>
            <w:tcW w:w="1170" w:type="dxa"/>
            <w:tcBorders>
              <w:top w:val="nil"/>
              <w:left w:val="nil"/>
              <w:bottom w:val="nil"/>
              <w:right w:val="nil"/>
            </w:tcBorders>
          </w:tcPr>
          <w:p w:rsidR="00F934C1" w:rsidRPr="00BB4B6E" w:rsidRDefault="00F934C1" w:rsidP="00F934C1">
            <w:r w:rsidRPr="00BB4B6E">
              <w:t>0.998</w:t>
            </w:r>
          </w:p>
        </w:tc>
      </w:tr>
      <w:tr w:rsidR="00F934C1" w:rsidRPr="00BB4B6E" w:rsidTr="00F934C1">
        <w:trPr>
          <w:trHeight w:val="585"/>
        </w:trPr>
        <w:tc>
          <w:tcPr>
            <w:tcW w:w="198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Syn nHA +DAP </w:t>
            </w:r>
          </w:p>
        </w:tc>
        <w:tc>
          <w:tcPr>
            <w:tcW w:w="1080" w:type="dxa"/>
            <w:tcBorders>
              <w:top w:val="nil"/>
              <w:left w:val="nil"/>
              <w:bottom w:val="nil"/>
              <w:right w:val="nil"/>
            </w:tcBorders>
          </w:tcPr>
          <w:p w:rsidR="00F934C1" w:rsidRPr="00BB4B6E" w:rsidRDefault="00F934C1" w:rsidP="00F934C1">
            <w:r w:rsidRPr="00BB4B6E">
              <w:t>0.00588</w:t>
            </w:r>
          </w:p>
        </w:tc>
        <w:tc>
          <w:tcPr>
            <w:tcW w:w="1350" w:type="dxa"/>
            <w:tcBorders>
              <w:top w:val="nil"/>
              <w:left w:val="nil"/>
              <w:bottom w:val="nil"/>
              <w:right w:val="nil"/>
            </w:tcBorders>
          </w:tcPr>
          <w:p w:rsidR="00F934C1" w:rsidRPr="00BB4B6E" w:rsidRDefault="00F934C1" w:rsidP="00F934C1">
            <w:r w:rsidRPr="00BB4B6E">
              <w:t>29.16</w:t>
            </w:r>
          </w:p>
        </w:tc>
        <w:tc>
          <w:tcPr>
            <w:tcW w:w="810" w:type="dxa"/>
            <w:tcBorders>
              <w:top w:val="nil"/>
              <w:left w:val="nil"/>
              <w:bottom w:val="nil"/>
              <w:right w:val="single" w:sz="4" w:space="0" w:color="auto"/>
            </w:tcBorders>
          </w:tcPr>
          <w:p w:rsidR="00F934C1" w:rsidRPr="00BB4B6E" w:rsidRDefault="00F934C1" w:rsidP="00F934C1">
            <w:r w:rsidRPr="00BB4B6E">
              <w:t>0.928</w:t>
            </w:r>
          </w:p>
        </w:tc>
        <w:tc>
          <w:tcPr>
            <w:tcW w:w="1170" w:type="dxa"/>
            <w:tcBorders>
              <w:top w:val="nil"/>
              <w:left w:val="single" w:sz="4" w:space="0" w:color="auto"/>
              <w:bottom w:val="nil"/>
              <w:right w:val="nil"/>
            </w:tcBorders>
          </w:tcPr>
          <w:p w:rsidR="00F934C1" w:rsidRPr="00BB4B6E" w:rsidRDefault="00F934C1" w:rsidP="00F934C1">
            <w:r w:rsidRPr="00BB4B6E">
              <w:t>0.005902</w:t>
            </w:r>
          </w:p>
        </w:tc>
        <w:tc>
          <w:tcPr>
            <w:tcW w:w="1260" w:type="dxa"/>
            <w:tcBorders>
              <w:top w:val="nil"/>
              <w:left w:val="nil"/>
              <w:bottom w:val="nil"/>
              <w:right w:val="nil"/>
            </w:tcBorders>
          </w:tcPr>
          <w:p w:rsidR="00F934C1" w:rsidRPr="00BB4B6E" w:rsidRDefault="00F934C1" w:rsidP="00F934C1">
            <w:r w:rsidRPr="00BB4B6E">
              <w:t>29.33</w:t>
            </w:r>
          </w:p>
        </w:tc>
        <w:tc>
          <w:tcPr>
            <w:tcW w:w="1170" w:type="dxa"/>
            <w:tcBorders>
              <w:top w:val="nil"/>
              <w:left w:val="nil"/>
              <w:bottom w:val="nil"/>
              <w:right w:val="nil"/>
            </w:tcBorders>
          </w:tcPr>
          <w:p w:rsidR="00F934C1" w:rsidRPr="00BB4B6E" w:rsidRDefault="00F934C1" w:rsidP="00F934C1">
            <w:r w:rsidRPr="00BB4B6E">
              <w:t>0.997</w:t>
            </w:r>
          </w:p>
        </w:tc>
      </w:tr>
      <w:tr w:rsidR="00F934C1" w:rsidRPr="00BB4B6E" w:rsidTr="00F934C1">
        <w:tc>
          <w:tcPr>
            <w:tcW w:w="198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Bone nHA+ NPK  </w:t>
            </w:r>
          </w:p>
        </w:tc>
        <w:tc>
          <w:tcPr>
            <w:tcW w:w="1080" w:type="dxa"/>
            <w:tcBorders>
              <w:top w:val="nil"/>
              <w:left w:val="nil"/>
              <w:bottom w:val="nil"/>
              <w:right w:val="nil"/>
            </w:tcBorders>
          </w:tcPr>
          <w:p w:rsidR="00F934C1" w:rsidRPr="00BB4B6E" w:rsidRDefault="00F934C1" w:rsidP="00F934C1">
            <w:r w:rsidRPr="00BB4B6E">
              <w:t>0.005902</w:t>
            </w:r>
          </w:p>
        </w:tc>
        <w:tc>
          <w:tcPr>
            <w:tcW w:w="1350" w:type="dxa"/>
            <w:tcBorders>
              <w:top w:val="nil"/>
              <w:left w:val="nil"/>
              <w:bottom w:val="nil"/>
              <w:right w:val="nil"/>
            </w:tcBorders>
          </w:tcPr>
          <w:p w:rsidR="00F934C1" w:rsidRPr="00BB4B6E" w:rsidRDefault="00F934C1" w:rsidP="00F934C1">
            <w:r w:rsidRPr="00BB4B6E">
              <w:t>29.33</w:t>
            </w:r>
          </w:p>
        </w:tc>
        <w:tc>
          <w:tcPr>
            <w:tcW w:w="810" w:type="dxa"/>
            <w:tcBorders>
              <w:top w:val="nil"/>
              <w:left w:val="nil"/>
              <w:bottom w:val="nil"/>
              <w:right w:val="single" w:sz="4" w:space="0" w:color="auto"/>
            </w:tcBorders>
          </w:tcPr>
          <w:p w:rsidR="00F934C1" w:rsidRPr="00BB4B6E" w:rsidRDefault="00F934C1" w:rsidP="00F934C1">
            <w:r w:rsidRPr="00BB4B6E">
              <w:t>0.923</w:t>
            </w:r>
          </w:p>
        </w:tc>
        <w:tc>
          <w:tcPr>
            <w:tcW w:w="1170" w:type="dxa"/>
            <w:tcBorders>
              <w:top w:val="nil"/>
              <w:left w:val="single" w:sz="4" w:space="0" w:color="auto"/>
              <w:bottom w:val="nil"/>
              <w:right w:val="nil"/>
            </w:tcBorders>
          </w:tcPr>
          <w:p w:rsidR="00F934C1" w:rsidRPr="00BB4B6E" w:rsidRDefault="00F934C1" w:rsidP="00F934C1">
            <w:r w:rsidRPr="00BB4B6E">
              <w:t>0.005448</w:t>
            </w:r>
          </w:p>
        </w:tc>
        <w:tc>
          <w:tcPr>
            <w:tcW w:w="1260" w:type="dxa"/>
            <w:tcBorders>
              <w:top w:val="nil"/>
              <w:left w:val="nil"/>
              <w:bottom w:val="nil"/>
              <w:right w:val="nil"/>
            </w:tcBorders>
          </w:tcPr>
          <w:p w:rsidR="00F934C1" w:rsidRPr="00BB4B6E" w:rsidRDefault="00F934C1" w:rsidP="00F934C1">
            <w:r w:rsidRPr="00BB4B6E">
              <w:t>30.21</w:t>
            </w:r>
          </w:p>
        </w:tc>
        <w:tc>
          <w:tcPr>
            <w:tcW w:w="1170" w:type="dxa"/>
            <w:tcBorders>
              <w:top w:val="nil"/>
              <w:left w:val="nil"/>
              <w:bottom w:val="nil"/>
              <w:right w:val="nil"/>
            </w:tcBorders>
          </w:tcPr>
          <w:p w:rsidR="00F934C1" w:rsidRPr="00BB4B6E" w:rsidRDefault="00F934C1" w:rsidP="00F934C1">
            <w:r w:rsidRPr="00BB4B6E">
              <w:t>0.999</w:t>
            </w:r>
          </w:p>
        </w:tc>
      </w:tr>
      <w:tr w:rsidR="00F934C1" w:rsidRPr="00BB4B6E" w:rsidTr="00F934C1">
        <w:tc>
          <w:tcPr>
            <w:tcW w:w="198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Syn nHA+ NPK  </w:t>
            </w:r>
          </w:p>
        </w:tc>
        <w:tc>
          <w:tcPr>
            <w:tcW w:w="1080" w:type="dxa"/>
            <w:tcBorders>
              <w:top w:val="nil"/>
              <w:left w:val="nil"/>
              <w:bottom w:val="nil"/>
              <w:right w:val="nil"/>
            </w:tcBorders>
          </w:tcPr>
          <w:p w:rsidR="00F934C1" w:rsidRPr="00BB4B6E" w:rsidRDefault="00F934C1" w:rsidP="00F934C1">
            <w:r w:rsidRPr="00BB4B6E">
              <w:t>0.00537</w:t>
            </w:r>
          </w:p>
        </w:tc>
        <w:tc>
          <w:tcPr>
            <w:tcW w:w="1350" w:type="dxa"/>
            <w:tcBorders>
              <w:top w:val="nil"/>
              <w:left w:val="nil"/>
              <w:bottom w:val="nil"/>
              <w:right w:val="nil"/>
            </w:tcBorders>
          </w:tcPr>
          <w:p w:rsidR="00F934C1" w:rsidRPr="00BB4B6E" w:rsidRDefault="00F934C1" w:rsidP="00F934C1">
            <w:r w:rsidRPr="00BB4B6E">
              <w:t>29.24</w:t>
            </w:r>
          </w:p>
        </w:tc>
        <w:tc>
          <w:tcPr>
            <w:tcW w:w="810" w:type="dxa"/>
            <w:tcBorders>
              <w:top w:val="nil"/>
              <w:left w:val="nil"/>
              <w:bottom w:val="nil"/>
              <w:right w:val="single" w:sz="4" w:space="0" w:color="auto"/>
            </w:tcBorders>
          </w:tcPr>
          <w:p w:rsidR="00F934C1" w:rsidRPr="00BB4B6E" w:rsidRDefault="00F934C1" w:rsidP="00F934C1">
            <w:r w:rsidRPr="00BB4B6E">
              <w:t>0.927</w:t>
            </w:r>
          </w:p>
        </w:tc>
        <w:tc>
          <w:tcPr>
            <w:tcW w:w="1170" w:type="dxa"/>
            <w:tcBorders>
              <w:top w:val="nil"/>
              <w:left w:val="single" w:sz="4" w:space="0" w:color="auto"/>
              <w:bottom w:val="nil"/>
              <w:right w:val="nil"/>
            </w:tcBorders>
          </w:tcPr>
          <w:p w:rsidR="00F934C1" w:rsidRPr="00BB4B6E" w:rsidRDefault="00F934C1" w:rsidP="00F934C1">
            <w:r w:rsidRPr="00BB4B6E">
              <w:t>0.004472</w:t>
            </w:r>
          </w:p>
        </w:tc>
        <w:tc>
          <w:tcPr>
            <w:tcW w:w="1260" w:type="dxa"/>
            <w:tcBorders>
              <w:top w:val="nil"/>
              <w:left w:val="nil"/>
              <w:bottom w:val="nil"/>
              <w:right w:val="nil"/>
            </w:tcBorders>
          </w:tcPr>
          <w:p w:rsidR="00F934C1" w:rsidRPr="00BB4B6E" w:rsidRDefault="00F934C1" w:rsidP="00F934C1">
            <w:r w:rsidRPr="00BB4B6E">
              <w:t>29.15</w:t>
            </w:r>
          </w:p>
        </w:tc>
        <w:tc>
          <w:tcPr>
            <w:tcW w:w="1170" w:type="dxa"/>
            <w:tcBorders>
              <w:top w:val="nil"/>
              <w:left w:val="nil"/>
              <w:bottom w:val="nil"/>
              <w:right w:val="nil"/>
            </w:tcBorders>
          </w:tcPr>
          <w:p w:rsidR="00F934C1" w:rsidRPr="00BB4B6E" w:rsidRDefault="00F934C1" w:rsidP="00F934C1">
            <w:r w:rsidRPr="00BB4B6E">
              <w:t>0.996</w:t>
            </w:r>
          </w:p>
        </w:tc>
      </w:tr>
      <w:tr w:rsidR="00F934C1" w:rsidRPr="00BB4B6E" w:rsidTr="00F934C1">
        <w:tc>
          <w:tcPr>
            <w:tcW w:w="1980" w:type="dxa"/>
            <w:tcBorders>
              <w:top w:val="nil"/>
              <w:left w:val="nil"/>
              <w:bottom w:val="nil"/>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Bone nHA+DAP+NPK </w:t>
            </w:r>
          </w:p>
        </w:tc>
        <w:tc>
          <w:tcPr>
            <w:tcW w:w="1080" w:type="dxa"/>
            <w:tcBorders>
              <w:top w:val="nil"/>
              <w:left w:val="nil"/>
              <w:bottom w:val="nil"/>
              <w:right w:val="nil"/>
            </w:tcBorders>
          </w:tcPr>
          <w:p w:rsidR="00F934C1" w:rsidRPr="00BB4B6E" w:rsidRDefault="00F934C1" w:rsidP="00F934C1">
            <w:r w:rsidRPr="00BB4B6E">
              <w:t>0.002989</w:t>
            </w:r>
          </w:p>
        </w:tc>
        <w:tc>
          <w:tcPr>
            <w:tcW w:w="1350" w:type="dxa"/>
            <w:tcBorders>
              <w:top w:val="nil"/>
              <w:left w:val="nil"/>
              <w:bottom w:val="nil"/>
              <w:right w:val="nil"/>
            </w:tcBorders>
          </w:tcPr>
          <w:p w:rsidR="00F934C1" w:rsidRPr="00BB4B6E" w:rsidRDefault="00F934C1" w:rsidP="00F934C1">
            <w:r w:rsidRPr="00BB4B6E">
              <w:t>31.15</w:t>
            </w:r>
          </w:p>
        </w:tc>
        <w:tc>
          <w:tcPr>
            <w:tcW w:w="810" w:type="dxa"/>
            <w:tcBorders>
              <w:top w:val="nil"/>
              <w:left w:val="nil"/>
              <w:bottom w:val="nil"/>
              <w:right w:val="single" w:sz="4" w:space="0" w:color="auto"/>
            </w:tcBorders>
          </w:tcPr>
          <w:p w:rsidR="00F934C1" w:rsidRPr="00BB4B6E" w:rsidRDefault="00F934C1" w:rsidP="00F934C1">
            <w:r w:rsidRPr="00BB4B6E">
              <w:t>0.921</w:t>
            </w:r>
          </w:p>
        </w:tc>
        <w:tc>
          <w:tcPr>
            <w:tcW w:w="1170" w:type="dxa"/>
            <w:tcBorders>
              <w:top w:val="nil"/>
              <w:left w:val="single" w:sz="4" w:space="0" w:color="auto"/>
              <w:bottom w:val="nil"/>
              <w:right w:val="nil"/>
            </w:tcBorders>
          </w:tcPr>
          <w:p w:rsidR="00F934C1" w:rsidRPr="00BB4B6E" w:rsidRDefault="00F934C1" w:rsidP="00F934C1">
            <w:r w:rsidRPr="00BB4B6E">
              <w:t>0.00606</w:t>
            </w:r>
          </w:p>
        </w:tc>
        <w:tc>
          <w:tcPr>
            <w:tcW w:w="1260" w:type="dxa"/>
            <w:tcBorders>
              <w:top w:val="nil"/>
              <w:left w:val="nil"/>
              <w:bottom w:val="nil"/>
              <w:right w:val="nil"/>
            </w:tcBorders>
          </w:tcPr>
          <w:p w:rsidR="00F934C1" w:rsidRPr="00BB4B6E" w:rsidRDefault="00F934C1" w:rsidP="00F934C1">
            <w:r w:rsidRPr="00BB4B6E">
              <w:t>29.24</w:t>
            </w:r>
          </w:p>
        </w:tc>
        <w:tc>
          <w:tcPr>
            <w:tcW w:w="1170" w:type="dxa"/>
            <w:tcBorders>
              <w:top w:val="nil"/>
              <w:left w:val="nil"/>
              <w:bottom w:val="nil"/>
              <w:right w:val="nil"/>
            </w:tcBorders>
          </w:tcPr>
          <w:p w:rsidR="00F934C1" w:rsidRPr="00BB4B6E" w:rsidRDefault="00F934C1" w:rsidP="00F934C1">
            <w:r w:rsidRPr="00BB4B6E">
              <w:t>0.998</w:t>
            </w:r>
          </w:p>
        </w:tc>
      </w:tr>
      <w:tr w:rsidR="00F934C1" w:rsidRPr="00BB4B6E" w:rsidTr="00F934C1">
        <w:tc>
          <w:tcPr>
            <w:tcW w:w="1980" w:type="dxa"/>
            <w:tcBorders>
              <w:top w:val="nil"/>
              <w:left w:val="nil"/>
              <w:bottom w:val="single" w:sz="4" w:space="0" w:color="auto"/>
              <w:right w:val="nil"/>
            </w:tcBorders>
          </w:tcPr>
          <w:p w:rsidR="00F934C1" w:rsidRPr="00BB4B6E" w:rsidRDefault="00F934C1" w:rsidP="00F934C1">
            <w:pPr>
              <w:pStyle w:val="Caption"/>
              <w:rPr>
                <w:b w:val="0"/>
                <w:color w:val="auto"/>
                <w:sz w:val="24"/>
                <w:szCs w:val="24"/>
              </w:rPr>
            </w:pPr>
            <w:r w:rsidRPr="00BB4B6E">
              <w:rPr>
                <w:b w:val="0"/>
                <w:color w:val="auto"/>
                <w:sz w:val="24"/>
                <w:szCs w:val="24"/>
              </w:rPr>
              <w:t xml:space="preserve">Syn nHA+DAP+NPK </w:t>
            </w:r>
          </w:p>
        </w:tc>
        <w:tc>
          <w:tcPr>
            <w:tcW w:w="1080" w:type="dxa"/>
            <w:tcBorders>
              <w:top w:val="nil"/>
              <w:left w:val="nil"/>
              <w:bottom w:val="single" w:sz="4" w:space="0" w:color="auto"/>
              <w:right w:val="nil"/>
            </w:tcBorders>
          </w:tcPr>
          <w:p w:rsidR="00F934C1" w:rsidRPr="00BB4B6E" w:rsidRDefault="00F934C1" w:rsidP="00F934C1">
            <w:r w:rsidRPr="00BB4B6E">
              <w:t>0.002878</w:t>
            </w:r>
          </w:p>
        </w:tc>
        <w:tc>
          <w:tcPr>
            <w:tcW w:w="1350" w:type="dxa"/>
            <w:tcBorders>
              <w:top w:val="nil"/>
              <w:left w:val="nil"/>
              <w:bottom w:val="single" w:sz="4" w:space="0" w:color="auto"/>
              <w:right w:val="nil"/>
            </w:tcBorders>
          </w:tcPr>
          <w:p w:rsidR="00F934C1" w:rsidRPr="00BB4B6E" w:rsidRDefault="00F934C1" w:rsidP="00F934C1">
            <w:r w:rsidRPr="00BB4B6E">
              <w:t>30.85</w:t>
            </w:r>
          </w:p>
        </w:tc>
        <w:tc>
          <w:tcPr>
            <w:tcW w:w="810" w:type="dxa"/>
            <w:tcBorders>
              <w:top w:val="nil"/>
              <w:left w:val="nil"/>
              <w:bottom w:val="single" w:sz="4" w:space="0" w:color="auto"/>
              <w:right w:val="single" w:sz="4" w:space="0" w:color="auto"/>
            </w:tcBorders>
          </w:tcPr>
          <w:p w:rsidR="00F934C1" w:rsidRPr="00BB4B6E" w:rsidRDefault="00F934C1" w:rsidP="00F934C1">
            <w:r w:rsidRPr="00BB4B6E">
              <w:t>0.910</w:t>
            </w:r>
          </w:p>
        </w:tc>
        <w:tc>
          <w:tcPr>
            <w:tcW w:w="1170" w:type="dxa"/>
            <w:tcBorders>
              <w:top w:val="nil"/>
              <w:left w:val="single" w:sz="4" w:space="0" w:color="auto"/>
              <w:bottom w:val="single" w:sz="4" w:space="0" w:color="auto"/>
              <w:right w:val="nil"/>
            </w:tcBorders>
          </w:tcPr>
          <w:p w:rsidR="00F934C1" w:rsidRPr="00BB4B6E" w:rsidRDefault="00F934C1" w:rsidP="00F934C1">
            <w:r w:rsidRPr="00BB4B6E">
              <w:t>0.00601</w:t>
            </w:r>
          </w:p>
        </w:tc>
        <w:tc>
          <w:tcPr>
            <w:tcW w:w="1260" w:type="dxa"/>
            <w:tcBorders>
              <w:top w:val="nil"/>
              <w:left w:val="nil"/>
              <w:bottom w:val="single" w:sz="4" w:space="0" w:color="auto"/>
              <w:right w:val="nil"/>
            </w:tcBorders>
          </w:tcPr>
          <w:p w:rsidR="00F934C1" w:rsidRPr="00BB4B6E" w:rsidRDefault="00F934C1" w:rsidP="00F934C1">
            <w:r w:rsidRPr="00BB4B6E">
              <w:t>29.12</w:t>
            </w:r>
          </w:p>
        </w:tc>
        <w:tc>
          <w:tcPr>
            <w:tcW w:w="1170" w:type="dxa"/>
            <w:tcBorders>
              <w:top w:val="nil"/>
              <w:left w:val="nil"/>
              <w:bottom w:val="single" w:sz="4" w:space="0" w:color="auto"/>
              <w:right w:val="nil"/>
            </w:tcBorders>
          </w:tcPr>
          <w:p w:rsidR="00F934C1" w:rsidRPr="00BB4B6E" w:rsidRDefault="00F934C1" w:rsidP="00F934C1">
            <w:r w:rsidRPr="00BB4B6E">
              <w:t>0.997</w:t>
            </w:r>
          </w:p>
        </w:tc>
      </w:tr>
    </w:tbl>
    <w:p w:rsidR="00F934C1" w:rsidRPr="00BB4B6E" w:rsidRDefault="00F934C1" w:rsidP="00F934C1">
      <w:pPr>
        <w:rPr>
          <w:color w:val="000000" w:themeColor="text1"/>
        </w:rPr>
      </w:pPr>
    </w:p>
    <w:p w:rsidR="00F934C1" w:rsidRPr="00BB4B6E" w:rsidRDefault="00F934C1" w:rsidP="00F934C1">
      <w:pPr>
        <w:rPr>
          <w:color w:val="000000" w:themeColor="text1"/>
        </w:rPr>
      </w:pPr>
      <w:r w:rsidRPr="00BB4B6E">
        <w:rPr>
          <w:color w:val="000000" w:themeColor="text1"/>
        </w:rPr>
        <w:t>Table 4.20 indicates that the Pseudo 2</w:t>
      </w:r>
      <w:r w:rsidRPr="00BB4B6E">
        <w:rPr>
          <w:color w:val="000000" w:themeColor="text1"/>
          <w:vertAlign w:val="superscript"/>
        </w:rPr>
        <w:t>nd</w:t>
      </w:r>
      <w:r w:rsidRPr="00BB4B6E">
        <w:rPr>
          <w:color w:val="000000" w:themeColor="text1"/>
        </w:rPr>
        <w:t xml:space="preserve"> order model is best fitted to explain Pb</w:t>
      </w:r>
      <w:r w:rsidRPr="00BB4B6E">
        <w:rPr>
          <w:color w:val="000000" w:themeColor="text1"/>
          <w:vertAlign w:val="superscript"/>
        </w:rPr>
        <w:t>2+</w:t>
      </w:r>
      <w:r>
        <w:rPr>
          <w:color w:val="000000" w:themeColor="text1"/>
        </w:rPr>
        <w:t xml:space="preserve"> ions</w:t>
      </w:r>
      <w:r w:rsidRPr="00BB4B6E">
        <w:rPr>
          <w:color w:val="000000" w:themeColor="text1"/>
        </w:rPr>
        <w:t xml:space="preserve"> adsorption by the nano-fertilizer adsorbents. This is because the Pseudo second order models recorded R</w:t>
      </w:r>
      <w:r w:rsidRPr="00BB4B6E">
        <w:rPr>
          <w:color w:val="000000" w:themeColor="text1"/>
          <w:vertAlign w:val="superscript"/>
        </w:rPr>
        <w:t>2</w:t>
      </w:r>
      <w:r w:rsidRPr="00BB4B6E">
        <w:rPr>
          <w:color w:val="000000" w:themeColor="text1"/>
        </w:rPr>
        <w:t>&gt; 0.995 while those of Cd are R</w:t>
      </w:r>
      <w:r w:rsidRPr="00BB4B6E">
        <w:rPr>
          <w:color w:val="000000" w:themeColor="text1"/>
          <w:vertAlign w:val="superscript"/>
        </w:rPr>
        <w:t>2</w:t>
      </w:r>
      <w:r w:rsidRPr="00BB4B6E">
        <w:rPr>
          <w:color w:val="000000" w:themeColor="text1"/>
        </w:rPr>
        <w:t xml:space="preserve"> ˂ 0.95.in all the nano-fertilizer experiments. Secondly, the results indicate that bone nanofertilizers had higher adsorption capacity (Q</w:t>
      </w:r>
      <w:r w:rsidRPr="00BB4B6E">
        <w:rPr>
          <w:color w:val="000000" w:themeColor="text1"/>
          <w:vertAlign w:val="subscript"/>
        </w:rPr>
        <w:t>e</w:t>
      </w:r>
      <w:r w:rsidRPr="00BB4B6E">
        <w:rPr>
          <w:color w:val="000000" w:themeColor="text1"/>
        </w:rPr>
        <w:t xml:space="preserve">) values than the synthetic nanofertilizers. This explains why bone nanofertilizers have significantly higher adsorption efficiency (p˂0.001) than synthetic nanofertilizers. The Pseudo second model depicts that the adsorption process was heterogeneous and multi-layered </w:t>
      </w:r>
      <w:r w:rsidR="00C226E6" w:rsidRPr="00BB4B6E">
        <w:rPr>
          <w:color w:val="000000" w:themeColor="text1"/>
        </w:rPr>
        <w:fldChar w:fldCharType="begin" w:fldLock="1"/>
      </w:r>
      <w:r w:rsidRPr="00BB4B6E">
        <w:rPr>
          <w:color w:val="000000" w:themeColor="text1"/>
        </w:rPr>
        <w:instrText>ADDIN CSL_CITATION {"citationItems":[{"id":"ITEM-1","itemData":{"author":[{"dropping-particle":"","family":"Wu","given":"S. G.","non-dropping-particle":"","parse-names":false,"suffix":""},{"dropping-particle":"","family":"Huang","given":"L.","non-dropping-particle":"","parse-names":false,"suffix":""},{"dropping-particle":"","family":"Head","given":"J.","non-dropping-particle":"","parse-names":false,"suffix":""},{"dropping-particle":"","family":"Chen","given":"D. R.","non-dropping-particle":"","parse-names":false,"suffix":""},{"dropping-particle":"","family":"Kong","given":"I. C.","non-dropping-particle":"","parse-names":false,"suffix":""},{"dropping-particle":"","family":"Tang","given":"Y. J.","non-dropping-particle":"","parse-names":false,"suffix":""}],"container-title":"Journal of petroleum Environmental Biotechnology.","id":"ITEM-1","issued":{"date-parts":[["2012"]]},"page":"126-127.","title":"Phytotoxicity of metal oxide nanoparticles is related to both dissolved metals ions and adsorption of particles on seed surfaces.","type":"article-journal","volume":"3"},"uris":["http://www.mendeley.com/documents/?uuid=ff39a249-18c5-4e73-b2f0-055dc19ba5f6"]}],"mendeley":{"formattedCitation":"(Wu et al., 2012)","manualFormatting":"(Wu et al., 2012","plainTextFormattedCitation":"(Wu et al., 2012)","previouslyFormattedCitation":"(Wu et al., 2012)"},"properties":{"noteIndex":0},"schema":"https://github.com/citation-style-language/schema/raw/master/csl-citation.json"}</w:instrText>
      </w:r>
      <w:r w:rsidR="00C226E6" w:rsidRPr="00BB4B6E">
        <w:rPr>
          <w:color w:val="000000" w:themeColor="text1"/>
        </w:rPr>
        <w:fldChar w:fldCharType="separate"/>
      </w:r>
      <w:r w:rsidRPr="00BB4B6E">
        <w:rPr>
          <w:noProof/>
          <w:color w:val="000000" w:themeColor="text1"/>
        </w:rPr>
        <w:t xml:space="preserve">(Wu </w:t>
      </w:r>
      <w:r w:rsidRPr="00BB4B6E">
        <w:rPr>
          <w:i/>
          <w:noProof/>
          <w:color w:val="000000" w:themeColor="text1"/>
        </w:rPr>
        <w:t>et al</w:t>
      </w:r>
      <w:r w:rsidRPr="00BB4B6E">
        <w:rPr>
          <w:noProof/>
          <w:color w:val="000000" w:themeColor="text1"/>
        </w:rPr>
        <w:t>., 2012</w:t>
      </w:r>
      <w:r w:rsidR="00C226E6" w:rsidRPr="00BB4B6E">
        <w:rPr>
          <w:color w:val="000000" w:themeColor="text1"/>
        </w:rPr>
        <w:fldChar w:fldCharType="end"/>
      </w:r>
      <w:r w:rsidRPr="00BB4B6E">
        <w:rPr>
          <w:color w:val="000000" w:themeColor="text1"/>
        </w:rPr>
        <w:t xml:space="preserve">; </w:t>
      </w:r>
      <w:r w:rsidR="00C226E6" w:rsidRPr="00BB4B6E">
        <w:rPr>
          <w:color w:val="000000" w:themeColor="text1"/>
        </w:rPr>
        <w:fldChar w:fldCharType="begin" w:fldLock="1"/>
      </w:r>
      <w:r w:rsidRPr="00BB4B6E">
        <w:rPr>
          <w:color w:val="000000" w:themeColor="text1"/>
        </w:rPr>
        <w:instrText>ADDIN CSL_CITATION {"citationItems":[{"id":"ITEM-1","itemData":{"author":[{"dropping-particle":"","family":"Bertazzo","given":"S.","non-dropping-particle":"","parse-names":false,"suffix":""},{"dropping-particle":"","family":"Zambuzzi","given":"W.F.","non-dropping-particle":"","parse-names":false,"suffix":""},{"dropping-particle":"","family":"Campos","given":"D.D.P.","non-dropping-particle":"","parse-names":false,"suffix":""},{"dropping-particle":"","family":"Ogeda","given":"T.L.","non-dropping-particle":"","parse-names":false,"suffix":""},{"dropping-particle":"","family":"Ferreira","given":"C.V.","non-dropping-particle":"","parse-names":false,"suffix":""},{"dropping-particle":"","family":"Bertran","given":"C.A.","non-dropping-particle":"","parse-names":false,"suffix":""}],"container-title":"Colloids Surface B Biointerfaces.","id":"ITEM-1","issued":{"date-parts":[["2010"]]},"page":"177–184.","title":"Hydroxyapatite surface solubility and effect on cell adhesion.","type":"article-journal","volume":"78"},"uris":["http://www.mendeley.com/documents/?uuid=79092ca7-7411-4f12-bc73-c78f50fa421a"]}],"mendeley":{"formattedCitation":"(Bertazzo et al., 2010)","manualFormatting":"Bertazzo et al., 2010)","plainTextFormattedCitation":"(Bertazzo et al., 2010)","previouslyFormattedCitation":"(Bertazzo et al., 2010)"},"properties":{"noteIndex":0},"schema":"https://github.com/citation-style-language/schema/raw/master/csl-citation.json"}</w:instrText>
      </w:r>
      <w:r w:rsidR="00C226E6" w:rsidRPr="00BB4B6E">
        <w:rPr>
          <w:color w:val="000000" w:themeColor="text1"/>
        </w:rPr>
        <w:fldChar w:fldCharType="separate"/>
      </w:r>
      <w:r w:rsidRPr="00BB4B6E">
        <w:rPr>
          <w:noProof/>
          <w:color w:val="000000" w:themeColor="text1"/>
        </w:rPr>
        <w:t xml:space="preserve">Bertazzo </w:t>
      </w:r>
      <w:r w:rsidRPr="00BB4B6E">
        <w:rPr>
          <w:i/>
          <w:noProof/>
          <w:color w:val="000000" w:themeColor="text1"/>
        </w:rPr>
        <w:t>et al.</w:t>
      </w:r>
      <w:r w:rsidRPr="00BB4B6E">
        <w:rPr>
          <w:noProof/>
          <w:color w:val="000000" w:themeColor="text1"/>
        </w:rPr>
        <w:t>, 2010)</w:t>
      </w:r>
      <w:r w:rsidR="00C226E6" w:rsidRPr="00BB4B6E">
        <w:rPr>
          <w:color w:val="000000" w:themeColor="text1"/>
        </w:rPr>
        <w:fldChar w:fldCharType="end"/>
      </w:r>
      <w:r w:rsidRPr="00BB4B6E">
        <w:rPr>
          <w:color w:val="000000" w:themeColor="text1"/>
        </w:rPr>
        <w:t>.</w:t>
      </w:r>
      <w:bookmarkEnd w:id="243"/>
      <w:r w:rsidRPr="00BB4B6E">
        <w:rPr>
          <w:color w:val="000000" w:themeColor="text1"/>
        </w:rPr>
        <w:t xml:space="preserve"> Though both Cd and Pb are transition metals, Cd is lighter than </w:t>
      </w:r>
      <w:r>
        <w:rPr>
          <w:color w:val="000000" w:themeColor="text1"/>
        </w:rPr>
        <w:t xml:space="preserve">Pb, that’s why they conform to </w:t>
      </w:r>
      <w:r w:rsidRPr="00BB4B6E">
        <w:rPr>
          <w:color w:val="000000" w:themeColor="text1"/>
        </w:rPr>
        <w:t>different adsorption isotherms.</w:t>
      </w:r>
    </w:p>
    <w:p w:rsidR="00F934C1" w:rsidRPr="00BB4B6E" w:rsidRDefault="00F934C1" w:rsidP="00F934C1">
      <w:pPr>
        <w:rPr>
          <w:color w:val="000000" w:themeColor="text1"/>
        </w:rPr>
      </w:pPr>
    </w:p>
    <w:p w:rsidR="00F934C1" w:rsidRPr="00BB4B6E" w:rsidRDefault="00F934C1" w:rsidP="00F934C1">
      <w:pPr>
        <w:pStyle w:val="Heading2"/>
        <w:spacing w:before="0"/>
        <w:rPr>
          <w:rFonts w:cs="Times New Roman"/>
          <w:szCs w:val="24"/>
        </w:rPr>
      </w:pPr>
      <w:bookmarkStart w:id="274" w:name="_Toc144820075"/>
      <w:r w:rsidRPr="00BB4B6E">
        <w:rPr>
          <w:rFonts w:cs="Times New Roman"/>
          <w:szCs w:val="24"/>
        </w:rPr>
        <w:lastRenderedPageBreak/>
        <w:t>4.10 Nutrient Release Concentration Studies</w:t>
      </w:r>
      <w:bookmarkEnd w:id="274"/>
    </w:p>
    <w:p w:rsidR="00F934C1" w:rsidRPr="00BB4B6E" w:rsidRDefault="00F934C1" w:rsidP="00F934C1">
      <w:r w:rsidRPr="00BB4B6E">
        <w:t>Nitrate, phosphate and potassium nutrient release patterns of the bone nanofertilizers was investigated by using experimental soil mixed with nanofertilizers at 10 % (w/w) and then packed in a column. The Tables 4.21, 4.22 and 4.23 below shows results for the amount of nitrate, phosphate and potassium nutrients released after every 5 days upto 40 days respectivel</w:t>
      </w:r>
      <w:bookmarkStart w:id="275" w:name="_Toc85455576"/>
      <w:bookmarkStart w:id="276" w:name="_Toc112877985"/>
      <w:bookmarkStart w:id="277" w:name="_Toc112880616"/>
      <w:r w:rsidRPr="00BB4B6E">
        <w:t>y</w:t>
      </w:r>
      <w:r>
        <w:t>.</w:t>
      </w:r>
    </w:p>
    <w:p w:rsidR="00F934C1" w:rsidRPr="00BB4B6E" w:rsidRDefault="00F934C1" w:rsidP="00F934C1"/>
    <w:p w:rsidR="00F934C1" w:rsidRPr="00BB4B6E" w:rsidRDefault="00F934C1" w:rsidP="00F934C1">
      <w:pPr>
        <w:sectPr w:rsidR="00F934C1" w:rsidRPr="00BB4B6E" w:rsidSect="00F934C1">
          <w:headerReference w:type="first" r:id="rId37"/>
          <w:type w:val="nextColumn"/>
          <w:pgSz w:w="11906" w:h="16838" w:code="9"/>
          <w:pgMar w:top="1728" w:right="1440" w:bottom="1440" w:left="2304" w:header="720" w:footer="720" w:gutter="0"/>
          <w:cols w:space="720"/>
          <w:docGrid w:linePitch="360"/>
        </w:sectPr>
      </w:pPr>
    </w:p>
    <w:p w:rsidR="00F934C1" w:rsidRPr="00BB4B6E" w:rsidRDefault="00F934C1" w:rsidP="00F934C1">
      <w:pPr>
        <w:pStyle w:val="Heading4"/>
        <w:spacing w:before="0"/>
      </w:pPr>
      <w:bookmarkStart w:id="278" w:name="_Toc120047587"/>
      <w:bookmarkStart w:id="279" w:name="_Toc144222352"/>
      <w:bookmarkStart w:id="280" w:name="_Toc112877986"/>
      <w:bookmarkStart w:id="281" w:name="_Toc112880617"/>
      <w:bookmarkEnd w:id="275"/>
      <w:bookmarkEnd w:id="276"/>
      <w:bookmarkEnd w:id="277"/>
      <w:r w:rsidRPr="00BB4B6E">
        <w:lastRenderedPageBreak/>
        <w:t>Table 4.21: Nitrate nutrient release concentrations by nano-fertilizers and commercial fertilizers</w:t>
      </w:r>
      <w:bookmarkEnd w:id="278"/>
      <w:bookmarkEnd w:id="279"/>
    </w:p>
    <w:tbl>
      <w:tblPr>
        <w:tblW w:w="12953" w:type="dxa"/>
        <w:tblInd w:w="63" w:type="dxa"/>
        <w:tblLayout w:type="fixed"/>
        <w:tblCellMar>
          <w:left w:w="0" w:type="dxa"/>
          <w:right w:w="0" w:type="dxa"/>
        </w:tblCellMar>
        <w:tblLook w:val="04A0" w:firstRow="1" w:lastRow="0" w:firstColumn="1" w:lastColumn="0" w:noHBand="0" w:noVBand="1"/>
      </w:tblPr>
      <w:tblGrid>
        <w:gridCol w:w="1170"/>
        <w:gridCol w:w="1459"/>
        <w:gridCol w:w="1485"/>
        <w:gridCol w:w="1414"/>
        <w:gridCol w:w="1414"/>
        <w:gridCol w:w="1503"/>
        <w:gridCol w:w="1485"/>
        <w:gridCol w:w="1516"/>
        <w:gridCol w:w="1507"/>
      </w:tblGrid>
      <w:tr w:rsidR="00F934C1" w:rsidRPr="00441D11" w:rsidTr="00F934C1">
        <w:trPr>
          <w:trHeight w:val="674"/>
        </w:trPr>
        <w:tc>
          <w:tcPr>
            <w:tcW w:w="1170" w:type="dxa"/>
            <w:vMerge w:val="restart"/>
            <w:tcBorders>
              <w:top w:val="single" w:sz="8" w:space="0" w:color="000000"/>
              <w:left w:val="nil"/>
              <w:bottom w:val="single" w:sz="8" w:space="0" w:color="000000"/>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center"/>
              <w:rPr>
                <w:b/>
              </w:rPr>
            </w:pPr>
            <w:r w:rsidRPr="00441D11">
              <w:rPr>
                <w:b/>
                <w:color w:val="000000"/>
                <w:kern w:val="24"/>
              </w:rPr>
              <w:t>D</w:t>
            </w:r>
            <w:r>
              <w:rPr>
                <w:b/>
                <w:color w:val="000000"/>
                <w:kern w:val="24"/>
              </w:rPr>
              <w:t>ays of</w:t>
            </w:r>
            <w:r w:rsidRPr="00441D11">
              <w:rPr>
                <w:b/>
                <w:color w:val="000000"/>
                <w:kern w:val="24"/>
              </w:rPr>
              <w:t xml:space="preserve"> E</w:t>
            </w:r>
            <w:r>
              <w:rPr>
                <w:b/>
                <w:color w:val="000000"/>
                <w:kern w:val="24"/>
              </w:rPr>
              <w:t>lution</w:t>
            </w:r>
          </w:p>
        </w:tc>
        <w:tc>
          <w:tcPr>
            <w:tcW w:w="11783" w:type="dxa"/>
            <w:gridSpan w:val="8"/>
            <w:tcBorders>
              <w:top w:val="single" w:sz="4" w:space="0" w:color="auto"/>
              <w:bottom w:val="single" w:sz="4" w:space="0" w:color="auto"/>
            </w:tcBorders>
            <w:shd w:val="clear" w:color="auto" w:fill="auto"/>
          </w:tcPr>
          <w:p w:rsidR="00F934C1" w:rsidRPr="00441D11" w:rsidRDefault="00F934C1" w:rsidP="00F934C1">
            <w:pPr>
              <w:autoSpaceDE/>
              <w:autoSpaceDN/>
              <w:adjustRightInd/>
              <w:spacing w:line="240" w:lineRule="auto"/>
              <w:jc w:val="center"/>
              <w:rPr>
                <w:color w:val="000000"/>
                <w:kern w:val="24"/>
              </w:rPr>
            </w:pPr>
            <w:r w:rsidRPr="00441D11">
              <w:rPr>
                <w:color w:val="000000"/>
                <w:kern w:val="24"/>
              </w:rPr>
              <w:t>Released Nitrate (NO</w:t>
            </w:r>
            <w:r w:rsidRPr="00441D11">
              <w:rPr>
                <w:color w:val="000000"/>
                <w:kern w:val="24"/>
                <w:position w:val="-6"/>
                <w:vertAlign w:val="subscript"/>
              </w:rPr>
              <w:t>3</w:t>
            </w:r>
            <w:r w:rsidRPr="00441D11">
              <w:rPr>
                <w:color w:val="000000"/>
                <w:kern w:val="24"/>
                <w:position w:val="7"/>
                <w:vertAlign w:val="superscript"/>
              </w:rPr>
              <w:t>-</w:t>
            </w:r>
            <w:r w:rsidRPr="00441D11">
              <w:rPr>
                <w:color w:val="000000"/>
                <w:kern w:val="24"/>
              </w:rPr>
              <w:t>) concentration</w:t>
            </w:r>
          </w:p>
          <w:p w:rsidR="00F934C1" w:rsidRPr="00441D11" w:rsidRDefault="00F934C1" w:rsidP="00F934C1">
            <w:pPr>
              <w:autoSpaceDE/>
              <w:autoSpaceDN/>
              <w:adjustRightInd/>
              <w:spacing w:line="240" w:lineRule="auto"/>
              <w:ind w:left="187"/>
              <w:jc w:val="center"/>
              <w:rPr>
                <w:rFonts w:eastAsia="Calibri"/>
                <w:b/>
                <w:bCs/>
                <w:color w:val="000000"/>
                <w:kern w:val="24"/>
              </w:rPr>
            </w:pPr>
            <w:r w:rsidRPr="00441D11">
              <w:rPr>
                <w:b/>
                <w:color w:val="000000"/>
              </w:rPr>
              <w:t>Mean± SD</w:t>
            </w:r>
            <w:r w:rsidRPr="00441D11">
              <w:rPr>
                <w:rFonts w:eastAsia="Calibri"/>
                <w:b/>
                <w:bCs/>
                <w:color w:val="000000"/>
                <w:kern w:val="24"/>
              </w:rPr>
              <w:t xml:space="preserve"> (</w:t>
            </w:r>
            <w:r w:rsidRPr="00441D11">
              <w:rPr>
                <w:color w:val="000000"/>
                <w:kern w:val="24"/>
              </w:rPr>
              <w:t>µgg</w:t>
            </w:r>
            <w:r w:rsidRPr="00441D11">
              <w:rPr>
                <w:color w:val="000000"/>
                <w:kern w:val="24"/>
                <w:position w:val="7"/>
                <w:vertAlign w:val="superscript"/>
              </w:rPr>
              <w:t>-1</w:t>
            </w:r>
            <w:r w:rsidRPr="00441D11">
              <w:rPr>
                <w:rFonts w:eastAsia="Calibri"/>
                <w:b/>
                <w:bCs/>
                <w:color w:val="000000"/>
                <w:kern w:val="24"/>
              </w:rPr>
              <w:t>)</w:t>
            </w:r>
          </w:p>
          <w:p w:rsidR="00F934C1" w:rsidRPr="00441D11" w:rsidRDefault="00F934C1" w:rsidP="00F934C1">
            <w:pPr>
              <w:autoSpaceDE/>
              <w:autoSpaceDN/>
              <w:adjustRightInd/>
              <w:spacing w:line="240" w:lineRule="auto"/>
              <w:jc w:val="center"/>
              <w:rPr>
                <w:color w:val="000000"/>
                <w:kern w:val="24"/>
              </w:rPr>
            </w:pPr>
            <w:r w:rsidRPr="00441D11">
              <w:rPr>
                <w:b/>
                <w:color w:val="000000"/>
              </w:rPr>
              <w:t>n=9</w:t>
            </w:r>
          </w:p>
        </w:tc>
      </w:tr>
      <w:tr w:rsidR="00F934C1" w:rsidRPr="00441D11" w:rsidTr="00F934C1">
        <w:trPr>
          <w:trHeight w:val="621"/>
        </w:trPr>
        <w:tc>
          <w:tcPr>
            <w:tcW w:w="1170" w:type="dxa"/>
            <w:vMerge/>
            <w:tcBorders>
              <w:top w:val="single" w:sz="8" w:space="0" w:color="000000"/>
              <w:left w:val="nil"/>
              <w:bottom w:val="single" w:sz="8" w:space="0" w:color="000000"/>
              <w:right w:val="single" w:sz="8" w:space="0" w:color="000000"/>
            </w:tcBorders>
            <w:vAlign w:val="center"/>
            <w:hideMark/>
          </w:tcPr>
          <w:p w:rsidR="00F934C1" w:rsidRPr="00441D11" w:rsidRDefault="00F934C1" w:rsidP="00F934C1">
            <w:pPr>
              <w:autoSpaceDE/>
              <w:autoSpaceDN/>
              <w:adjustRightInd/>
              <w:spacing w:line="240" w:lineRule="auto"/>
              <w:jc w:val="left"/>
              <w:rPr>
                <w:b/>
              </w:rPr>
            </w:pPr>
          </w:p>
        </w:tc>
        <w:tc>
          <w:tcPr>
            <w:tcW w:w="1459" w:type="dxa"/>
            <w:tcBorders>
              <w:top w:val="single" w:sz="8" w:space="0" w:color="000000"/>
              <w:left w:val="single" w:sz="8" w:space="0" w:color="000000"/>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Bone nHA</w:t>
            </w:r>
          </w:p>
        </w:tc>
        <w:tc>
          <w:tcPr>
            <w:tcW w:w="1485"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Bone nHA+ DAP </w:t>
            </w:r>
          </w:p>
        </w:tc>
        <w:tc>
          <w:tcPr>
            <w:tcW w:w="1414"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Bone nHA+ NPK </w:t>
            </w:r>
          </w:p>
        </w:tc>
        <w:tc>
          <w:tcPr>
            <w:tcW w:w="1414"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Synthetic nHA</w:t>
            </w:r>
          </w:p>
        </w:tc>
        <w:tc>
          <w:tcPr>
            <w:tcW w:w="1503"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Synthetic nHA+ DAP </w:t>
            </w:r>
          </w:p>
        </w:tc>
        <w:tc>
          <w:tcPr>
            <w:tcW w:w="1485"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Synthetic nHA+ NPK </w:t>
            </w:r>
          </w:p>
        </w:tc>
        <w:tc>
          <w:tcPr>
            <w:tcW w:w="1516"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DAP   </w:t>
            </w:r>
          </w:p>
        </w:tc>
        <w:tc>
          <w:tcPr>
            <w:tcW w:w="1507" w:type="dxa"/>
            <w:tcBorders>
              <w:top w:val="single" w:sz="8" w:space="0" w:color="000000"/>
              <w:left w:val="nil"/>
              <w:bottom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NPK </w:t>
            </w:r>
          </w:p>
        </w:tc>
      </w:tr>
      <w:tr w:rsidR="00F934C1" w:rsidRPr="00441D11" w:rsidTr="00F934C1">
        <w:trPr>
          <w:trHeight w:val="816"/>
        </w:trPr>
        <w:tc>
          <w:tcPr>
            <w:tcW w:w="1170" w:type="dxa"/>
            <w:tcBorders>
              <w:top w:val="single" w:sz="8" w:space="0" w:color="000000"/>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5 </w:t>
            </w:r>
          </w:p>
          <w:p w:rsidR="00F934C1" w:rsidRPr="00441D11" w:rsidRDefault="00F934C1" w:rsidP="00F934C1">
            <w:pPr>
              <w:autoSpaceDE/>
              <w:autoSpaceDN/>
              <w:adjustRightInd/>
              <w:spacing w:line="240" w:lineRule="auto"/>
              <w:rPr>
                <w:b/>
              </w:rPr>
            </w:pPr>
            <w:r w:rsidRPr="00441D11">
              <w:rPr>
                <w:b/>
                <w:color w:val="000000"/>
                <w:kern w:val="24"/>
              </w:rPr>
              <w:t xml:space="preserve">Day 10 </w:t>
            </w:r>
          </w:p>
        </w:tc>
        <w:tc>
          <w:tcPr>
            <w:tcW w:w="1459" w:type="dxa"/>
            <w:tcBorders>
              <w:top w:val="single" w:sz="8" w:space="0" w:color="000000"/>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73.45±0.36</w:t>
            </w:r>
            <w:r w:rsidRPr="00441D11">
              <w:rPr>
                <w:color w:val="000000"/>
                <w:kern w:val="24"/>
                <w:position w:val="6"/>
                <w:vertAlign w:val="superscript"/>
              </w:rPr>
              <w:t xml:space="preserve">eA </w:t>
            </w:r>
          </w:p>
          <w:p w:rsidR="00F934C1" w:rsidRPr="00441D11" w:rsidRDefault="00F934C1" w:rsidP="00F934C1">
            <w:pPr>
              <w:autoSpaceDE/>
              <w:autoSpaceDN/>
              <w:adjustRightInd/>
              <w:spacing w:line="240" w:lineRule="auto"/>
              <w:jc w:val="left"/>
            </w:pPr>
            <w:r w:rsidRPr="00441D11">
              <w:rPr>
                <w:color w:val="000000"/>
                <w:kern w:val="24"/>
              </w:rPr>
              <w:t>48.57±0.22</w:t>
            </w:r>
            <w:r w:rsidRPr="00441D11">
              <w:rPr>
                <w:color w:val="000000"/>
                <w:kern w:val="24"/>
                <w:position w:val="6"/>
                <w:vertAlign w:val="superscript"/>
              </w:rPr>
              <w:t>g A</w:t>
            </w:r>
          </w:p>
        </w:tc>
        <w:tc>
          <w:tcPr>
            <w:tcW w:w="1485"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89.67±0.18</w:t>
            </w:r>
            <w:r w:rsidRPr="00441D11">
              <w:rPr>
                <w:color w:val="000000"/>
                <w:kern w:val="24"/>
                <w:position w:val="6"/>
                <w:vertAlign w:val="superscript"/>
              </w:rPr>
              <w:t>e C</w:t>
            </w:r>
          </w:p>
          <w:p w:rsidR="00F934C1" w:rsidRPr="00441D11" w:rsidRDefault="00F934C1" w:rsidP="00F934C1">
            <w:pPr>
              <w:autoSpaceDE/>
              <w:autoSpaceDN/>
              <w:adjustRightInd/>
              <w:spacing w:line="240" w:lineRule="auto"/>
              <w:jc w:val="left"/>
            </w:pPr>
            <w:r w:rsidRPr="00441D11">
              <w:rPr>
                <w:color w:val="000000"/>
                <w:kern w:val="24"/>
              </w:rPr>
              <w:t>51.52±0.17</w:t>
            </w:r>
            <w:r w:rsidRPr="00441D11">
              <w:rPr>
                <w:color w:val="000000"/>
                <w:kern w:val="24"/>
                <w:position w:val="6"/>
                <w:vertAlign w:val="superscript"/>
              </w:rPr>
              <w:t>d B</w:t>
            </w:r>
          </w:p>
        </w:tc>
        <w:tc>
          <w:tcPr>
            <w:tcW w:w="1414"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89.72±0.16</w:t>
            </w:r>
            <w:r w:rsidRPr="00441D11">
              <w:rPr>
                <w:color w:val="000000"/>
                <w:kern w:val="24"/>
                <w:position w:val="6"/>
                <w:vertAlign w:val="superscript"/>
              </w:rPr>
              <w:t>eC</w:t>
            </w:r>
          </w:p>
          <w:p w:rsidR="00F934C1" w:rsidRPr="00441D11" w:rsidRDefault="00F934C1" w:rsidP="00F934C1">
            <w:pPr>
              <w:autoSpaceDE/>
              <w:autoSpaceDN/>
              <w:adjustRightInd/>
              <w:spacing w:line="240" w:lineRule="auto"/>
              <w:jc w:val="left"/>
            </w:pPr>
            <w:r w:rsidRPr="00441D11">
              <w:rPr>
                <w:color w:val="000000"/>
                <w:kern w:val="24"/>
              </w:rPr>
              <w:t>55.02±0.20</w:t>
            </w:r>
            <w:r w:rsidRPr="00441D11">
              <w:rPr>
                <w:color w:val="000000"/>
                <w:kern w:val="24"/>
                <w:position w:val="6"/>
                <w:vertAlign w:val="superscript"/>
              </w:rPr>
              <w:t>dC</w:t>
            </w:r>
          </w:p>
        </w:tc>
        <w:tc>
          <w:tcPr>
            <w:tcW w:w="1414"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74.33±0.27</w:t>
            </w:r>
            <w:r w:rsidRPr="00441D11">
              <w:rPr>
                <w:color w:val="000000"/>
                <w:kern w:val="24"/>
                <w:position w:val="6"/>
                <w:vertAlign w:val="superscript"/>
              </w:rPr>
              <w:t>eA</w:t>
            </w:r>
          </w:p>
          <w:p w:rsidR="00F934C1" w:rsidRPr="00441D11" w:rsidRDefault="00F934C1" w:rsidP="00F934C1">
            <w:pPr>
              <w:autoSpaceDE/>
              <w:autoSpaceDN/>
              <w:adjustRightInd/>
              <w:spacing w:line="240" w:lineRule="auto"/>
              <w:jc w:val="left"/>
            </w:pPr>
            <w:r w:rsidRPr="00441D11">
              <w:rPr>
                <w:color w:val="000000"/>
                <w:kern w:val="24"/>
              </w:rPr>
              <w:t>48.62±0.20</w:t>
            </w:r>
            <w:r w:rsidRPr="00441D11">
              <w:rPr>
                <w:color w:val="000000"/>
                <w:kern w:val="24"/>
                <w:position w:val="6"/>
                <w:vertAlign w:val="superscript"/>
              </w:rPr>
              <w:t>dA</w:t>
            </w:r>
          </w:p>
        </w:tc>
        <w:tc>
          <w:tcPr>
            <w:tcW w:w="1503"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95.2±0.70</w:t>
            </w:r>
            <w:r w:rsidRPr="00441D11">
              <w:rPr>
                <w:color w:val="000000"/>
                <w:kern w:val="24"/>
                <w:position w:val="6"/>
                <w:vertAlign w:val="superscript"/>
              </w:rPr>
              <w:t>fD</w:t>
            </w:r>
          </w:p>
          <w:p w:rsidR="00F934C1" w:rsidRPr="00441D11" w:rsidRDefault="00F934C1" w:rsidP="00F934C1">
            <w:pPr>
              <w:autoSpaceDE/>
              <w:autoSpaceDN/>
              <w:adjustRightInd/>
              <w:spacing w:line="240" w:lineRule="auto"/>
              <w:jc w:val="left"/>
            </w:pPr>
            <w:r w:rsidRPr="00441D11">
              <w:rPr>
                <w:color w:val="000000"/>
                <w:kern w:val="24"/>
              </w:rPr>
              <w:t>51.66±0.22</w:t>
            </w:r>
            <w:r w:rsidRPr="00441D11">
              <w:rPr>
                <w:color w:val="000000"/>
                <w:kern w:val="24"/>
                <w:position w:val="6"/>
                <w:vertAlign w:val="superscript"/>
              </w:rPr>
              <w:t>eB</w:t>
            </w:r>
          </w:p>
        </w:tc>
        <w:tc>
          <w:tcPr>
            <w:tcW w:w="1485"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84.74±0.15</w:t>
            </w:r>
            <w:r w:rsidRPr="00441D11">
              <w:rPr>
                <w:color w:val="000000"/>
                <w:kern w:val="24"/>
                <w:position w:val="6"/>
                <w:vertAlign w:val="superscript"/>
              </w:rPr>
              <w:t>fB</w:t>
            </w:r>
          </w:p>
          <w:p w:rsidR="00F934C1" w:rsidRPr="00441D11" w:rsidRDefault="00F934C1" w:rsidP="00F934C1">
            <w:pPr>
              <w:autoSpaceDE/>
              <w:autoSpaceDN/>
              <w:adjustRightInd/>
              <w:spacing w:line="240" w:lineRule="auto"/>
              <w:jc w:val="left"/>
            </w:pPr>
            <w:r w:rsidRPr="00441D11">
              <w:rPr>
                <w:color w:val="000000"/>
                <w:kern w:val="24"/>
              </w:rPr>
              <w:t>47.29±0.10</w:t>
            </w:r>
            <w:r w:rsidRPr="00441D11">
              <w:rPr>
                <w:color w:val="000000"/>
                <w:kern w:val="24"/>
                <w:position w:val="6"/>
                <w:vertAlign w:val="superscript"/>
              </w:rPr>
              <w:t>eA</w:t>
            </w:r>
          </w:p>
        </w:tc>
        <w:tc>
          <w:tcPr>
            <w:tcW w:w="1516"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162.62±0.79</w:t>
            </w:r>
            <w:r w:rsidRPr="00441D11">
              <w:rPr>
                <w:color w:val="000000"/>
                <w:kern w:val="24"/>
                <w:position w:val="6"/>
                <w:vertAlign w:val="superscript"/>
              </w:rPr>
              <w:t>hE</w:t>
            </w:r>
          </w:p>
          <w:p w:rsidR="00F934C1" w:rsidRPr="00441D11" w:rsidRDefault="00F934C1" w:rsidP="00F934C1">
            <w:pPr>
              <w:autoSpaceDE/>
              <w:autoSpaceDN/>
              <w:adjustRightInd/>
              <w:spacing w:line="240" w:lineRule="auto"/>
              <w:jc w:val="left"/>
            </w:pPr>
            <w:r w:rsidRPr="00441D11">
              <w:rPr>
                <w:color w:val="000000"/>
                <w:kern w:val="24"/>
              </w:rPr>
              <w:t>98.04±0.14</w:t>
            </w:r>
            <w:r w:rsidRPr="00441D11">
              <w:rPr>
                <w:color w:val="000000"/>
                <w:kern w:val="24"/>
                <w:position w:val="6"/>
                <w:vertAlign w:val="superscript"/>
              </w:rPr>
              <w:t>gD</w:t>
            </w:r>
          </w:p>
        </w:tc>
        <w:tc>
          <w:tcPr>
            <w:tcW w:w="1507"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165.5±1.23</w:t>
            </w:r>
            <w:r w:rsidRPr="00441D11">
              <w:rPr>
                <w:color w:val="000000"/>
                <w:kern w:val="24"/>
                <w:position w:val="6"/>
                <w:vertAlign w:val="superscript"/>
              </w:rPr>
              <w:t>hE</w:t>
            </w:r>
          </w:p>
          <w:p w:rsidR="00F934C1" w:rsidRPr="00441D11" w:rsidRDefault="00F934C1" w:rsidP="00F934C1">
            <w:pPr>
              <w:autoSpaceDE/>
              <w:autoSpaceDN/>
              <w:adjustRightInd/>
              <w:spacing w:line="240" w:lineRule="auto"/>
              <w:jc w:val="left"/>
            </w:pPr>
            <w:r w:rsidRPr="00441D11">
              <w:rPr>
                <w:color w:val="000000"/>
                <w:kern w:val="24"/>
              </w:rPr>
              <w:t>101.01±0.11</w:t>
            </w:r>
            <w:r w:rsidRPr="00441D11">
              <w:rPr>
                <w:color w:val="000000"/>
                <w:kern w:val="24"/>
                <w:position w:val="6"/>
                <w:vertAlign w:val="superscript"/>
              </w:rPr>
              <w:t>gE</w:t>
            </w:r>
          </w:p>
        </w:tc>
      </w:tr>
      <w:tr w:rsidR="00F934C1" w:rsidRPr="00441D11" w:rsidTr="00F934C1">
        <w:trPr>
          <w:trHeight w:val="367"/>
        </w:trPr>
        <w:tc>
          <w:tcPr>
            <w:tcW w:w="1170"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15 </w:t>
            </w:r>
          </w:p>
        </w:tc>
        <w:tc>
          <w:tcPr>
            <w:tcW w:w="145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39.32±0.94</w:t>
            </w:r>
            <w:r w:rsidRPr="00441D11">
              <w:rPr>
                <w:color w:val="000000"/>
                <w:kern w:val="24"/>
                <w:position w:val="6"/>
                <w:vertAlign w:val="superscript"/>
              </w:rPr>
              <w:t>d A</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37.91±0.18</w:t>
            </w:r>
            <w:r w:rsidRPr="00441D11">
              <w:rPr>
                <w:color w:val="000000"/>
                <w:kern w:val="24"/>
                <w:position w:val="6"/>
                <w:vertAlign w:val="superscript"/>
              </w:rPr>
              <w:t>c A</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39.36±0.85</w:t>
            </w:r>
            <w:r w:rsidRPr="00441D11">
              <w:rPr>
                <w:color w:val="000000"/>
                <w:kern w:val="24"/>
                <w:position w:val="6"/>
                <w:vertAlign w:val="superscript"/>
              </w:rPr>
              <w:t>a</w:t>
            </w:r>
            <w:r>
              <w:rPr>
                <w:color w:val="000000"/>
                <w:kern w:val="24"/>
                <w:position w:val="6"/>
                <w:vertAlign w:val="superscript"/>
              </w:rPr>
              <w:t>C</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39.57±0.68</w:t>
            </w:r>
            <w:r w:rsidRPr="00441D11">
              <w:rPr>
                <w:color w:val="000000"/>
                <w:kern w:val="24"/>
                <w:position w:val="6"/>
                <w:vertAlign w:val="superscript"/>
              </w:rPr>
              <w:t>cA</w:t>
            </w:r>
          </w:p>
        </w:tc>
        <w:tc>
          <w:tcPr>
            <w:tcW w:w="150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41.33±0.24</w:t>
            </w:r>
            <w:r w:rsidRPr="00441D11">
              <w:rPr>
                <w:color w:val="000000"/>
                <w:kern w:val="24"/>
                <w:position w:val="6"/>
                <w:vertAlign w:val="superscript"/>
              </w:rPr>
              <w:t>dB</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39.40±0.14</w:t>
            </w:r>
            <w:r w:rsidRPr="00441D11">
              <w:rPr>
                <w:color w:val="000000"/>
                <w:kern w:val="24"/>
                <w:position w:val="6"/>
                <w:vertAlign w:val="superscript"/>
              </w:rPr>
              <w:t>dA</w:t>
            </w:r>
          </w:p>
        </w:tc>
        <w:tc>
          <w:tcPr>
            <w:tcW w:w="151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61.92±0.28</w:t>
            </w:r>
            <w:r w:rsidRPr="00441D11">
              <w:rPr>
                <w:color w:val="000000"/>
                <w:kern w:val="24"/>
                <w:position w:val="6"/>
                <w:vertAlign w:val="superscript"/>
              </w:rPr>
              <w:t>fC</w:t>
            </w:r>
          </w:p>
        </w:tc>
        <w:tc>
          <w:tcPr>
            <w:tcW w:w="150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67.34±0.92</w:t>
            </w:r>
            <w:r w:rsidRPr="00441D11">
              <w:rPr>
                <w:color w:val="000000"/>
                <w:kern w:val="24"/>
                <w:position w:val="6"/>
                <w:vertAlign w:val="superscript"/>
              </w:rPr>
              <w:t>fD</w:t>
            </w:r>
          </w:p>
        </w:tc>
      </w:tr>
      <w:tr w:rsidR="00F934C1" w:rsidRPr="00441D11" w:rsidTr="00F934C1">
        <w:trPr>
          <w:trHeight w:val="501"/>
        </w:trPr>
        <w:tc>
          <w:tcPr>
            <w:tcW w:w="1170"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20 </w:t>
            </w:r>
          </w:p>
        </w:tc>
        <w:tc>
          <w:tcPr>
            <w:tcW w:w="145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36.49±0.19</w:t>
            </w:r>
            <w:r w:rsidRPr="00441D11">
              <w:rPr>
                <w:color w:val="000000"/>
                <w:kern w:val="24"/>
                <w:position w:val="6"/>
                <w:vertAlign w:val="superscript"/>
              </w:rPr>
              <w:t>b A</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34.13±0.04</w:t>
            </w:r>
            <w:r w:rsidRPr="00441D11">
              <w:rPr>
                <w:color w:val="000000"/>
                <w:kern w:val="24"/>
                <w:position w:val="6"/>
                <w:vertAlign w:val="superscript"/>
              </w:rPr>
              <w:t>b A</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35.81±0.59</w:t>
            </w:r>
            <w:r w:rsidRPr="00441D11">
              <w:rPr>
                <w:color w:val="000000"/>
                <w:kern w:val="24"/>
                <w:position w:val="6"/>
                <w:vertAlign w:val="superscript"/>
              </w:rPr>
              <w:t>bA</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38.61±0.57</w:t>
            </w:r>
            <w:r w:rsidRPr="00441D11">
              <w:rPr>
                <w:color w:val="000000"/>
                <w:kern w:val="24"/>
                <w:position w:val="6"/>
                <w:vertAlign w:val="superscript"/>
              </w:rPr>
              <w:t>cB</w:t>
            </w:r>
          </w:p>
        </w:tc>
        <w:tc>
          <w:tcPr>
            <w:tcW w:w="150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38.51±0.21</w:t>
            </w:r>
            <w:r w:rsidRPr="00441D11">
              <w:rPr>
                <w:color w:val="000000"/>
                <w:kern w:val="24"/>
                <w:position w:val="6"/>
                <w:vertAlign w:val="superscript"/>
              </w:rPr>
              <w:t>cdB</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37.29±0.14</w:t>
            </w:r>
            <w:r w:rsidRPr="00441D11">
              <w:rPr>
                <w:color w:val="000000"/>
                <w:kern w:val="24"/>
                <w:position w:val="6"/>
                <w:vertAlign w:val="superscript"/>
              </w:rPr>
              <w:t>cdA</w:t>
            </w:r>
          </w:p>
        </w:tc>
        <w:tc>
          <w:tcPr>
            <w:tcW w:w="151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49.0±0.96</w:t>
            </w:r>
            <w:r w:rsidRPr="00441D11">
              <w:rPr>
                <w:color w:val="000000"/>
                <w:kern w:val="24"/>
                <w:position w:val="6"/>
                <w:vertAlign w:val="superscript"/>
              </w:rPr>
              <w:t>eC</w:t>
            </w:r>
          </w:p>
        </w:tc>
        <w:tc>
          <w:tcPr>
            <w:tcW w:w="150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49.21±1.13</w:t>
            </w:r>
            <w:r w:rsidRPr="00441D11">
              <w:rPr>
                <w:color w:val="000000"/>
                <w:kern w:val="24"/>
                <w:position w:val="6"/>
                <w:vertAlign w:val="superscript"/>
              </w:rPr>
              <w:t>eC</w:t>
            </w:r>
          </w:p>
        </w:tc>
      </w:tr>
      <w:tr w:rsidR="00F934C1" w:rsidRPr="00441D11" w:rsidTr="00F934C1">
        <w:trPr>
          <w:trHeight w:val="596"/>
        </w:trPr>
        <w:tc>
          <w:tcPr>
            <w:tcW w:w="1170"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25 </w:t>
            </w:r>
          </w:p>
        </w:tc>
        <w:tc>
          <w:tcPr>
            <w:tcW w:w="145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34.31±0.73</w:t>
            </w:r>
            <w:r w:rsidRPr="00441D11">
              <w:rPr>
                <w:color w:val="000000"/>
                <w:kern w:val="24"/>
                <w:position w:val="6"/>
                <w:vertAlign w:val="superscript"/>
              </w:rPr>
              <w:t>b B</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33.84±0.12</w:t>
            </w:r>
            <w:r w:rsidRPr="00441D11">
              <w:rPr>
                <w:color w:val="000000"/>
                <w:kern w:val="24"/>
                <w:position w:val="6"/>
                <w:vertAlign w:val="superscript"/>
              </w:rPr>
              <w:t>b B</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34.36±0.49</w:t>
            </w:r>
            <w:r w:rsidRPr="00441D11">
              <w:rPr>
                <w:color w:val="000000"/>
                <w:kern w:val="24"/>
                <w:position w:val="6"/>
                <w:vertAlign w:val="superscript"/>
              </w:rPr>
              <w:t>bB</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34.22±0.12</w:t>
            </w:r>
            <w:r w:rsidRPr="00441D11">
              <w:rPr>
                <w:color w:val="000000"/>
                <w:kern w:val="24"/>
                <w:position w:val="6"/>
                <w:vertAlign w:val="superscript"/>
              </w:rPr>
              <w:t>bB</w:t>
            </w:r>
          </w:p>
        </w:tc>
        <w:tc>
          <w:tcPr>
            <w:tcW w:w="150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35.43±1.07</w:t>
            </w:r>
            <w:r w:rsidRPr="00441D11">
              <w:rPr>
                <w:color w:val="000000"/>
                <w:kern w:val="24"/>
                <w:position w:val="6"/>
                <w:vertAlign w:val="superscript"/>
              </w:rPr>
              <w:t>cBC</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34.89±0.14</w:t>
            </w:r>
            <w:r w:rsidRPr="00441D11">
              <w:rPr>
                <w:color w:val="000000"/>
                <w:kern w:val="24"/>
                <w:position w:val="6"/>
                <w:vertAlign w:val="superscript"/>
              </w:rPr>
              <w:t>cA</w:t>
            </w:r>
          </w:p>
        </w:tc>
        <w:tc>
          <w:tcPr>
            <w:tcW w:w="151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29.54±0.51</w:t>
            </w:r>
            <w:r w:rsidRPr="00441D11">
              <w:rPr>
                <w:color w:val="000000"/>
                <w:kern w:val="24"/>
                <w:position w:val="6"/>
                <w:vertAlign w:val="superscript"/>
              </w:rPr>
              <w:t>dA</w:t>
            </w:r>
          </w:p>
        </w:tc>
        <w:tc>
          <w:tcPr>
            <w:tcW w:w="150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28.67±0.19</w:t>
            </w:r>
            <w:r w:rsidRPr="00441D11">
              <w:rPr>
                <w:color w:val="000000"/>
                <w:kern w:val="24"/>
                <w:position w:val="6"/>
                <w:vertAlign w:val="superscript"/>
              </w:rPr>
              <w:t>dA</w:t>
            </w:r>
          </w:p>
        </w:tc>
      </w:tr>
      <w:tr w:rsidR="00F934C1" w:rsidRPr="00441D11" w:rsidTr="00F934C1">
        <w:trPr>
          <w:trHeight w:val="679"/>
        </w:trPr>
        <w:tc>
          <w:tcPr>
            <w:tcW w:w="1170"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30 </w:t>
            </w:r>
          </w:p>
        </w:tc>
        <w:tc>
          <w:tcPr>
            <w:tcW w:w="145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31.97±1.12</w:t>
            </w:r>
            <w:r w:rsidRPr="00441D11">
              <w:rPr>
                <w:color w:val="000000"/>
                <w:kern w:val="24"/>
                <w:position w:val="6"/>
                <w:vertAlign w:val="superscript"/>
              </w:rPr>
              <w:t>a B</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32.47±0.73</w:t>
            </w:r>
            <w:r w:rsidRPr="00441D11">
              <w:rPr>
                <w:color w:val="000000"/>
                <w:kern w:val="24"/>
                <w:position w:val="6"/>
                <w:vertAlign w:val="superscript"/>
              </w:rPr>
              <w:t>b</w:t>
            </w:r>
            <w:r>
              <w:rPr>
                <w:color w:val="000000"/>
                <w:kern w:val="24"/>
                <w:position w:val="6"/>
                <w:vertAlign w:val="superscript"/>
              </w:rPr>
              <w:t>B</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30.73±0.07</w:t>
            </w:r>
            <w:r w:rsidRPr="00441D11">
              <w:rPr>
                <w:color w:val="000000"/>
                <w:kern w:val="24"/>
                <w:position w:val="6"/>
                <w:vertAlign w:val="superscript"/>
              </w:rPr>
              <w:t>aB</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30.68±1.66</w:t>
            </w:r>
            <w:r w:rsidRPr="00441D11">
              <w:rPr>
                <w:color w:val="000000"/>
                <w:kern w:val="24"/>
                <w:position w:val="6"/>
                <w:vertAlign w:val="superscript"/>
              </w:rPr>
              <w:t>aB</w:t>
            </w:r>
          </w:p>
        </w:tc>
        <w:tc>
          <w:tcPr>
            <w:tcW w:w="150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32.19±0.17</w:t>
            </w:r>
            <w:r w:rsidRPr="00441D11">
              <w:rPr>
                <w:color w:val="000000"/>
                <w:kern w:val="24"/>
                <w:position w:val="6"/>
                <w:vertAlign w:val="superscript"/>
              </w:rPr>
              <w:t>bB</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31.58±0.13</w:t>
            </w:r>
            <w:r w:rsidRPr="00441D11">
              <w:rPr>
                <w:color w:val="000000"/>
                <w:kern w:val="24"/>
                <w:position w:val="6"/>
                <w:vertAlign w:val="superscript"/>
              </w:rPr>
              <w:t>bB</w:t>
            </w:r>
          </w:p>
        </w:tc>
        <w:tc>
          <w:tcPr>
            <w:tcW w:w="151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15.48±0.73</w:t>
            </w:r>
            <w:r w:rsidRPr="00441D11">
              <w:rPr>
                <w:color w:val="000000"/>
                <w:kern w:val="24"/>
                <w:position w:val="6"/>
                <w:vertAlign w:val="superscript"/>
              </w:rPr>
              <w:t>cA</w:t>
            </w:r>
          </w:p>
        </w:tc>
        <w:tc>
          <w:tcPr>
            <w:tcW w:w="150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15.54±0.49</w:t>
            </w:r>
            <w:r w:rsidRPr="00441D11">
              <w:rPr>
                <w:color w:val="000000"/>
                <w:kern w:val="24"/>
                <w:position w:val="6"/>
                <w:vertAlign w:val="superscript"/>
              </w:rPr>
              <w:t>cA</w:t>
            </w:r>
          </w:p>
        </w:tc>
      </w:tr>
      <w:tr w:rsidR="00F934C1" w:rsidRPr="00441D11" w:rsidTr="00F934C1">
        <w:trPr>
          <w:trHeight w:val="635"/>
        </w:trPr>
        <w:tc>
          <w:tcPr>
            <w:tcW w:w="1170"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35 </w:t>
            </w:r>
          </w:p>
        </w:tc>
        <w:tc>
          <w:tcPr>
            <w:tcW w:w="145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30.02±0.10</w:t>
            </w:r>
            <w:r w:rsidRPr="00441D11">
              <w:rPr>
                <w:color w:val="000000"/>
                <w:kern w:val="24"/>
                <w:position w:val="6"/>
                <w:vertAlign w:val="superscript"/>
              </w:rPr>
              <w:t>a B</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30.56±0.31</w:t>
            </w:r>
            <w:r w:rsidRPr="00441D11">
              <w:rPr>
                <w:color w:val="000000"/>
                <w:kern w:val="24"/>
                <w:position w:val="6"/>
                <w:vertAlign w:val="superscript"/>
              </w:rPr>
              <w:t>bc</w:t>
            </w:r>
            <w:r>
              <w:rPr>
                <w:color w:val="000000"/>
                <w:kern w:val="24"/>
                <w:position w:val="6"/>
                <w:vertAlign w:val="superscript"/>
              </w:rPr>
              <w:t>A</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29.34±0.33</w:t>
            </w:r>
            <w:r w:rsidRPr="00441D11">
              <w:rPr>
                <w:color w:val="000000"/>
                <w:kern w:val="24"/>
                <w:position w:val="6"/>
                <w:vertAlign w:val="superscript"/>
              </w:rPr>
              <w:t>aB</w:t>
            </w:r>
          </w:p>
        </w:tc>
        <w:tc>
          <w:tcPr>
            <w:tcW w:w="141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28.96±0.22</w:t>
            </w:r>
            <w:r w:rsidRPr="00441D11">
              <w:rPr>
                <w:color w:val="000000"/>
                <w:kern w:val="24"/>
                <w:position w:val="6"/>
                <w:vertAlign w:val="superscript"/>
              </w:rPr>
              <w:t>aB</w:t>
            </w:r>
          </w:p>
        </w:tc>
        <w:tc>
          <w:tcPr>
            <w:tcW w:w="150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29.56±0.99</w:t>
            </w:r>
            <w:r w:rsidRPr="00441D11">
              <w:rPr>
                <w:color w:val="000000"/>
                <w:kern w:val="24"/>
                <w:position w:val="6"/>
                <w:vertAlign w:val="superscript"/>
              </w:rPr>
              <w:t>aB</w:t>
            </w:r>
          </w:p>
        </w:tc>
        <w:tc>
          <w:tcPr>
            <w:tcW w:w="148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29.06±0.11</w:t>
            </w:r>
            <w:r w:rsidRPr="00441D11">
              <w:rPr>
                <w:color w:val="000000"/>
                <w:kern w:val="24"/>
                <w:position w:val="6"/>
                <w:vertAlign w:val="superscript"/>
              </w:rPr>
              <w:t>aB</w:t>
            </w:r>
          </w:p>
        </w:tc>
        <w:tc>
          <w:tcPr>
            <w:tcW w:w="151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11.24±0.62</w:t>
            </w:r>
            <w:r w:rsidRPr="00441D11">
              <w:rPr>
                <w:color w:val="000000"/>
                <w:kern w:val="24"/>
                <w:position w:val="6"/>
                <w:vertAlign w:val="superscript"/>
              </w:rPr>
              <w:t>bA</w:t>
            </w:r>
          </w:p>
        </w:tc>
        <w:tc>
          <w:tcPr>
            <w:tcW w:w="150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10.34±0.85</w:t>
            </w:r>
            <w:r w:rsidRPr="00441D11">
              <w:rPr>
                <w:color w:val="000000"/>
                <w:kern w:val="24"/>
                <w:position w:val="6"/>
                <w:vertAlign w:val="superscript"/>
              </w:rPr>
              <w:t>bA</w:t>
            </w:r>
          </w:p>
        </w:tc>
      </w:tr>
      <w:tr w:rsidR="00F934C1" w:rsidRPr="00441D11" w:rsidTr="00F934C1">
        <w:trPr>
          <w:trHeight w:val="217"/>
        </w:trPr>
        <w:tc>
          <w:tcPr>
            <w:tcW w:w="1170" w:type="dxa"/>
            <w:tcBorders>
              <w:top w:val="nil"/>
              <w:left w:val="nil"/>
              <w:bottom w:val="single" w:sz="8" w:space="0" w:color="000000"/>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40 </w:t>
            </w:r>
          </w:p>
        </w:tc>
        <w:tc>
          <w:tcPr>
            <w:tcW w:w="1459" w:type="dxa"/>
            <w:tcBorders>
              <w:top w:val="nil"/>
              <w:left w:val="single" w:sz="8" w:space="0" w:color="000000"/>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29.98±0.08</w:t>
            </w:r>
            <w:r w:rsidRPr="00441D11">
              <w:rPr>
                <w:color w:val="000000"/>
                <w:kern w:val="24"/>
                <w:position w:val="6"/>
                <w:vertAlign w:val="superscript"/>
              </w:rPr>
              <w:t>a B</w:t>
            </w:r>
          </w:p>
        </w:tc>
        <w:tc>
          <w:tcPr>
            <w:tcW w:w="1485"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29.28±1.10</w:t>
            </w:r>
            <w:r w:rsidRPr="00441D11">
              <w:rPr>
                <w:color w:val="000000"/>
                <w:kern w:val="24"/>
                <w:position w:val="6"/>
                <w:vertAlign w:val="superscript"/>
              </w:rPr>
              <w:t>aB</w:t>
            </w:r>
          </w:p>
        </w:tc>
        <w:tc>
          <w:tcPr>
            <w:tcW w:w="1414"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29.11±0.42</w:t>
            </w:r>
            <w:r w:rsidRPr="00441D11">
              <w:rPr>
                <w:color w:val="000000"/>
                <w:kern w:val="24"/>
                <w:position w:val="6"/>
                <w:vertAlign w:val="superscript"/>
              </w:rPr>
              <w:t>aB</w:t>
            </w:r>
          </w:p>
        </w:tc>
        <w:tc>
          <w:tcPr>
            <w:tcW w:w="1414"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28.03±0.40</w:t>
            </w:r>
            <w:r w:rsidRPr="00441D11">
              <w:rPr>
                <w:color w:val="000000"/>
                <w:kern w:val="24"/>
                <w:position w:val="6"/>
                <w:vertAlign w:val="superscript"/>
              </w:rPr>
              <w:t>aB</w:t>
            </w:r>
          </w:p>
        </w:tc>
        <w:tc>
          <w:tcPr>
            <w:tcW w:w="1503"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29.49±1.02</w:t>
            </w:r>
            <w:r w:rsidRPr="00441D11">
              <w:rPr>
                <w:color w:val="000000"/>
                <w:kern w:val="24"/>
                <w:position w:val="6"/>
                <w:vertAlign w:val="superscript"/>
              </w:rPr>
              <w:t>aB</w:t>
            </w:r>
          </w:p>
        </w:tc>
        <w:tc>
          <w:tcPr>
            <w:tcW w:w="1485"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28.81±0.10</w:t>
            </w:r>
            <w:r w:rsidRPr="00441D11">
              <w:rPr>
                <w:color w:val="000000"/>
                <w:kern w:val="24"/>
                <w:position w:val="6"/>
                <w:vertAlign w:val="superscript"/>
              </w:rPr>
              <w:t>aB</w:t>
            </w:r>
          </w:p>
        </w:tc>
        <w:tc>
          <w:tcPr>
            <w:tcW w:w="1516"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9.18±0.11</w:t>
            </w:r>
            <w:r w:rsidRPr="00441D11">
              <w:rPr>
                <w:color w:val="000000"/>
                <w:kern w:val="24"/>
                <w:position w:val="6"/>
                <w:vertAlign w:val="superscript"/>
              </w:rPr>
              <w:t>aA</w:t>
            </w:r>
          </w:p>
        </w:tc>
        <w:tc>
          <w:tcPr>
            <w:tcW w:w="1507"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8.98±1.03</w:t>
            </w:r>
            <w:r w:rsidRPr="00441D11">
              <w:rPr>
                <w:color w:val="000000"/>
                <w:kern w:val="24"/>
                <w:position w:val="6"/>
                <w:vertAlign w:val="superscript"/>
              </w:rPr>
              <w:t>Aa</w:t>
            </w:r>
          </w:p>
        </w:tc>
      </w:tr>
    </w:tbl>
    <w:p w:rsidR="00F934C1" w:rsidRPr="00BB4B6E" w:rsidRDefault="00F934C1" w:rsidP="00F934C1">
      <w:pPr>
        <w:spacing w:line="240" w:lineRule="auto"/>
        <w:rPr>
          <w:lang w:val="sw-KE" w:eastAsia="sw-KE"/>
        </w:rPr>
      </w:pPr>
      <w:r w:rsidRPr="00BB4B6E">
        <w:rPr>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autoSpaceDE/>
        <w:autoSpaceDN/>
        <w:adjustRightInd/>
        <w:spacing w:after="200" w:line="276" w:lineRule="auto"/>
        <w:jc w:val="left"/>
      </w:pPr>
      <w:r w:rsidRPr="00BB4B6E">
        <w:br w:type="page"/>
      </w:r>
    </w:p>
    <w:p w:rsidR="00F934C1" w:rsidRPr="00441D11" w:rsidRDefault="00F934C1" w:rsidP="00F934C1">
      <w:pPr>
        <w:pStyle w:val="Heading4"/>
      </w:pPr>
      <w:bookmarkStart w:id="282" w:name="_Toc120047588"/>
      <w:bookmarkStart w:id="283" w:name="_Toc144222353"/>
      <w:bookmarkStart w:id="284" w:name="_Toc112877987"/>
      <w:bookmarkStart w:id="285" w:name="_Toc112880618"/>
      <w:bookmarkEnd w:id="280"/>
      <w:bookmarkEnd w:id="281"/>
      <w:r w:rsidRPr="00441D11">
        <w:lastRenderedPageBreak/>
        <w:t>Table 4.22: Phosphate nutrient release concentrations by nano-fertilizers and commercial fertilizers</w:t>
      </w:r>
      <w:bookmarkEnd w:id="282"/>
      <w:bookmarkEnd w:id="283"/>
    </w:p>
    <w:tbl>
      <w:tblPr>
        <w:tblW w:w="13347" w:type="dxa"/>
        <w:tblInd w:w="-522" w:type="dxa"/>
        <w:tblCellMar>
          <w:left w:w="0" w:type="dxa"/>
          <w:right w:w="0" w:type="dxa"/>
        </w:tblCellMar>
        <w:tblLook w:val="04A0" w:firstRow="1" w:lastRow="0" w:firstColumn="1" w:lastColumn="0" w:noHBand="0" w:noVBand="1"/>
      </w:tblPr>
      <w:tblGrid>
        <w:gridCol w:w="1362"/>
        <w:gridCol w:w="1600"/>
        <w:gridCol w:w="1600"/>
        <w:gridCol w:w="1511"/>
        <w:gridCol w:w="1441"/>
        <w:gridCol w:w="1485"/>
        <w:gridCol w:w="1485"/>
        <w:gridCol w:w="1420"/>
        <w:gridCol w:w="1420"/>
        <w:gridCol w:w="23"/>
      </w:tblGrid>
      <w:tr w:rsidR="00F934C1" w:rsidRPr="00441D11" w:rsidTr="00F934C1">
        <w:trPr>
          <w:trHeight w:val="862"/>
        </w:trPr>
        <w:tc>
          <w:tcPr>
            <w:tcW w:w="1421" w:type="dxa"/>
            <w:vMerge w:val="restart"/>
            <w:tcBorders>
              <w:top w:val="single" w:sz="8" w:space="0" w:color="000000"/>
              <w:left w:val="nil"/>
              <w:bottom w:val="single" w:sz="8" w:space="0" w:color="000000"/>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center"/>
              <w:rPr>
                <w:b/>
              </w:rPr>
            </w:pPr>
            <w:r>
              <w:rPr>
                <w:b/>
                <w:color w:val="000000"/>
                <w:kern w:val="24"/>
              </w:rPr>
              <w:t>Days of</w:t>
            </w:r>
            <w:r w:rsidRPr="00441D11">
              <w:rPr>
                <w:b/>
                <w:color w:val="000000"/>
                <w:kern w:val="24"/>
              </w:rPr>
              <w:t xml:space="preserve"> E</w:t>
            </w:r>
            <w:r>
              <w:rPr>
                <w:b/>
                <w:color w:val="000000"/>
                <w:kern w:val="24"/>
              </w:rPr>
              <w:t>lution</w:t>
            </w:r>
          </w:p>
        </w:tc>
        <w:tc>
          <w:tcPr>
            <w:tcW w:w="11926" w:type="dxa"/>
            <w:gridSpan w:val="9"/>
            <w:tcBorders>
              <w:top w:val="single" w:sz="4" w:space="0" w:color="auto"/>
              <w:bottom w:val="single" w:sz="4" w:space="0" w:color="auto"/>
            </w:tcBorders>
            <w:shd w:val="clear" w:color="auto" w:fill="auto"/>
          </w:tcPr>
          <w:p w:rsidR="00F934C1" w:rsidRPr="00441D11" w:rsidRDefault="00F934C1" w:rsidP="00F934C1">
            <w:pPr>
              <w:autoSpaceDE/>
              <w:autoSpaceDN/>
              <w:adjustRightInd/>
              <w:spacing w:line="240" w:lineRule="auto"/>
              <w:jc w:val="center"/>
              <w:rPr>
                <w:color w:val="000000"/>
                <w:kern w:val="24"/>
              </w:rPr>
            </w:pPr>
            <w:r w:rsidRPr="00441D11">
              <w:rPr>
                <w:color w:val="000000"/>
                <w:kern w:val="24"/>
              </w:rPr>
              <w:t>Released Phosphate (</w:t>
            </w:r>
            <w:r w:rsidRPr="00441D11">
              <w:rPr>
                <w:b/>
                <w:color w:val="000000"/>
                <w:kern w:val="24"/>
              </w:rPr>
              <w:t>PO</w:t>
            </w:r>
            <w:r w:rsidRPr="00441D11">
              <w:rPr>
                <w:b/>
                <w:color w:val="000000"/>
                <w:kern w:val="24"/>
                <w:position w:val="-6"/>
                <w:vertAlign w:val="subscript"/>
              </w:rPr>
              <w:t>4</w:t>
            </w:r>
            <w:r w:rsidRPr="00441D11">
              <w:rPr>
                <w:b/>
                <w:color w:val="000000"/>
                <w:kern w:val="24"/>
                <w:position w:val="7"/>
                <w:vertAlign w:val="superscript"/>
              </w:rPr>
              <w:t>3-</w:t>
            </w:r>
            <w:r w:rsidRPr="00441D11">
              <w:rPr>
                <w:color w:val="000000"/>
                <w:kern w:val="24"/>
              </w:rPr>
              <w:t>) concentration</w:t>
            </w:r>
          </w:p>
          <w:p w:rsidR="00F934C1" w:rsidRPr="00441D11" w:rsidRDefault="00F934C1" w:rsidP="00F934C1">
            <w:pPr>
              <w:autoSpaceDE/>
              <w:autoSpaceDN/>
              <w:adjustRightInd/>
              <w:spacing w:line="240" w:lineRule="auto"/>
              <w:ind w:left="187"/>
              <w:jc w:val="center"/>
              <w:rPr>
                <w:rFonts w:eastAsia="Calibri"/>
                <w:b/>
                <w:bCs/>
                <w:color w:val="000000"/>
                <w:kern w:val="24"/>
              </w:rPr>
            </w:pPr>
            <w:r w:rsidRPr="00441D11">
              <w:rPr>
                <w:b/>
                <w:color w:val="000000"/>
              </w:rPr>
              <w:t>Mean± SD</w:t>
            </w:r>
            <w:r w:rsidRPr="00441D11">
              <w:rPr>
                <w:rFonts w:eastAsia="Calibri"/>
                <w:b/>
                <w:bCs/>
                <w:color w:val="000000"/>
                <w:kern w:val="24"/>
              </w:rPr>
              <w:t xml:space="preserve"> (</w:t>
            </w:r>
            <w:r w:rsidRPr="00441D11">
              <w:rPr>
                <w:color w:val="000000"/>
                <w:kern w:val="24"/>
              </w:rPr>
              <w:t>µgg</w:t>
            </w:r>
            <w:r w:rsidRPr="00441D11">
              <w:rPr>
                <w:color w:val="000000"/>
                <w:kern w:val="24"/>
                <w:position w:val="7"/>
                <w:vertAlign w:val="superscript"/>
              </w:rPr>
              <w:t>-1</w:t>
            </w:r>
            <w:r w:rsidRPr="00441D11">
              <w:rPr>
                <w:rFonts w:eastAsia="Calibri"/>
                <w:b/>
                <w:bCs/>
                <w:color w:val="000000"/>
                <w:kern w:val="24"/>
              </w:rPr>
              <w:t>)</w:t>
            </w:r>
          </w:p>
          <w:p w:rsidR="00F934C1" w:rsidRPr="00441D11" w:rsidRDefault="00F934C1" w:rsidP="00F934C1">
            <w:pPr>
              <w:autoSpaceDE/>
              <w:autoSpaceDN/>
              <w:adjustRightInd/>
              <w:spacing w:line="240" w:lineRule="auto"/>
              <w:jc w:val="center"/>
              <w:rPr>
                <w:color w:val="000000"/>
                <w:kern w:val="24"/>
              </w:rPr>
            </w:pPr>
            <w:r w:rsidRPr="00441D11">
              <w:rPr>
                <w:b/>
                <w:color w:val="000000"/>
              </w:rPr>
              <w:t>n=9</w:t>
            </w:r>
          </w:p>
        </w:tc>
      </w:tr>
      <w:tr w:rsidR="00F934C1" w:rsidRPr="00441D11" w:rsidTr="00F934C1">
        <w:trPr>
          <w:gridAfter w:val="1"/>
          <w:wAfter w:w="25" w:type="dxa"/>
          <w:trHeight w:val="795"/>
        </w:trPr>
        <w:tc>
          <w:tcPr>
            <w:tcW w:w="1421" w:type="dxa"/>
            <w:vMerge/>
            <w:tcBorders>
              <w:top w:val="single" w:sz="8" w:space="0" w:color="000000"/>
              <w:left w:val="nil"/>
              <w:bottom w:val="single" w:sz="8" w:space="0" w:color="000000"/>
              <w:right w:val="single" w:sz="8" w:space="0" w:color="000000"/>
            </w:tcBorders>
            <w:vAlign w:val="center"/>
            <w:hideMark/>
          </w:tcPr>
          <w:p w:rsidR="00F934C1" w:rsidRPr="00441D11" w:rsidRDefault="00F934C1" w:rsidP="00F934C1">
            <w:pPr>
              <w:autoSpaceDE/>
              <w:autoSpaceDN/>
              <w:adjustRightInd/>
              <w:spacing w:line="240" w:lineRule="auto"/>
              <w:jc w:val="left"/>
              <w:rPr>
                <w:b/>
              </w:rPr>
            </w:pPr>
          </w:p>
        </w:tc>
        <w:tc>
          <w:tcPr>
            <w:tcW w:w="1625" w:type="dxa"/>
            <w:tcBorders>
              <w:top w:val="single" w:sz="8" w:space="0" w:color="000000"/>
              <w:left w:val="single" w:sz="8" w:space="0" w:color="000000"/>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Bone nHA</w:t>
            </w:r>
          </w:p>
        </w:tc>
        <w:tc>
          <w:tcPr>
            <w:tcW w:w="1625"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Bone nHA+ DAP </w:t>
            </w:r>
          </w:p>
        </w:tc>
        <w:tc>
          <w:tcPr>
            <w:tcW w:w="1523"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Bone nHA+ NPK </w:t>
            </w:r>
          </w:p>
        </w:tc>
        <w:tc>
          <w:tcPr>
            <w:tcW w:w="1444"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Synthetic nHA</w:t>
            </w:r>
          </w:p>
        </w:tc>
        <w:tc>
          <w:tcPr>
            <w:tcW w:w="1421"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Synthetic nHA+ DAP </w:t>
            </w:r>
          </w:p>
        </w:tc>
        <w:tc>
          <w:tcPr>
            <w:tcW w:w="1421"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Synthetic nHA+ NPK </w:t>
            </w:r>
          </w:p>
        </w:tc>
        <w:tc>
          <w:tcPr>
            <w:tcW w:w="1421"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DAP   </w:t>
            </w:r>
          </w:p>
        </w:tc>
        <w:tc>
          <w:tcPr>
            <w:tcW w:w="1421" w:type="dxa"/>
            <w:tcBorders>
              <w:top w:val="single" w:sz="8" w:space="0" w:color="000000"/>
              <w:left w:val="nil"/>
              <w:bottom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NPK </w:t>
            </w:r>
          </w:p>
        </w:tc>
      </w:tr>
      <w:tr w:rsidR="00F934C1" w:rsidRPr="00441D11" w:rsidTr="00F934C1">
        <w:trPr>
          <w:gridAfter w:val="1"/>
          <w:wAfter w:w="25" w:type="dxa"/>
          <w:trHeight w:val="1045"/>
        </w:trPr>
        <w:tc>
          <w:tcPr>
            <w:tcW w:w="1421" w:type="dxa"/>
            <w:tcBorders>
              <w:top w:val="single" w:sz="8" w:space="0" w:color="000000"/>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5 </w:t>
            </w:r>
          </w:p>
          <w:p w:rsidR="00F934C1" w:rsidRPr="00441D11" w:rsidRDefault="00F934C1" w:rsidP="00F934C1">
            <w:pPr>
              <w:autoSpaceDE/>
              <w:autoSpaceDN/>
              <w:adjustRightInd/>
              <w:spacing w:line="240" w:lineRule="auto"/>
              <w:rPr>
                <w:b/>
              </w:rPr>
            </w:pPr>
            <w:r w:rsidRPr="00441D11">
              <w:rPr>
                <w:b/>
                <w:color w:val="000000"/>
                <w:kern w:val="24"/>
              </w:rPr>
              <w:t xml:space="preserve">Day 10 </w:t>
            </w:r>
          </w:p>
        </w:tc>
        <w:tc>
          <w:tcPr>
            <w:tcW w:w="1625" w:type="dxa"/>
            <w:tcBorders>
              <w:top w:val="single" w:sz="8" w:space="0" w:color="000000"/>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36.45±0.33</w:t>
            </w:r>
            <w:r w:rsidRPr="00441D11">
              <w:rPr>
                <w:color w:val="000000"/>
                <w:kern w:val="24"/>
                <w:position w:val="6"/>
                <w:vertAlign w:val="superscript"/>
              </w:rPr>
              <w:t>e A</w:t>
            </w:r>
          </w:p>
          <w:p w:rsidR="00F934C1" w:rsidRPr="00441D11" w:rsidRDefault="00F934C1" w:rsidP="00F934C1">
            <w:pPr>
              <w:autoSpaceDE/>
              <w:autoSpaceDN/>
              <w:adjustRightInd/>
              <w:spacing w:line="240" w:lineRule="auto"/>
              <w:jc w:val="left"/>
            </w:pPr>
            <w:r w:rsidRPr="00441D11">
              <w:rPr>
                <w:color w:val="000000"/>
                <w:kern w:val="24"/>
              </w:rPr>
              <w:t>24.57±0.19</w:t>
            </w:r>
            <w:r w:rsidRPr="00441D11">
              <w:rPr>
                <w:color w:val="000000"/>
                <w:kern w:val="24"/>
                <w:position w:val="6"/>
                <w:vertAlign w:val="superscript"/>
              </w:rPr>
              <w:t xml:space="preserve">gA </w:t>
            </w:r>
          </w:p>
        </w:tc>
        <w:tc>
          <w:tcPr>
            <w:tcW w:w="1625"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44.67±0.15</w:t>
            </w:r>
            <w:r w:rsidRPr="00441D11">
              <w:rPr>
                <w:color w:val="000000"/>
                <w:kern w:val="24"/>
                <w:position w:val="6"/>
                <w:vertAlign w:val="superscript"/>
              </w:rPr>
              <w:t>e B</w:t>
            </w:r>
          </w:p>
          <w:p w:rsidR="00F934C1" w:rsidRPr="00441D11" w:rsidRDefault="00F934C1" w:rsidP="00F934C1">
            <w:pPr>
              <w:autoSpaceDE/>
              <w:autoSpaceDN/>
              <w:adjustRightInd/>
              <w:spacing w:line="240" w:lineRule="auto"/>
              <w:jc w:val="left"/>
            </w:pPr>
            <w:r w:rsidRPr="00441D11">
              <w:rPr>
                <w:color w:val="000000"/>
                <w:kern w:val="24"/>
              </w:rPr>
              <w:t>25.52±0.14</w:t>
            </w:r>
            <w:r w:rsidRPr="00441D11">
              <w:rPr>
                <w:color w:val="000000"/>
                <w:kern w:val="24"/>
                <w:position w:val="6"/>
                <w:vertAlign w:val="superscript"/>
              </w:rPr>
              <w:t xml:space="preserve">dA </w:t>
            </w:r>
          </w:p>
        </w:tc>
        <w:tc>
          <w:tcPr>
            <w:tcW w:w="1523"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44.72±0.13</w:t>
            </w:r>
            <w:r w:rsidRPr="00441D11">
              <w:rPr>
                <w:color w:val="000000"/>
                <w:kern w:val="24"/>
                <w:position w:val="6"/>
                <w:vertAlign w:val="superscript"/>
              </w:rPr>
              <w:t>eB</w:t>
            </w:r>
          </w:p>
          <w:p w:rsidR="00F934C1" w:rsidRPr="00441D11" w:rsidRDefault="00F934C1" w:rsidP="00F934C1">
            <w:pPr>
              <w:autoSpaceDE/>
              <w:autoSpaceDN/>
              <w:adjustRightInd/>
              <w:spacing w:line="240" w:lineRule="auto"/>
              <w:jc w:val="left"/>
            </w:pPr>
            <w:r w:rsidRPr="00441D11">
              <w:rPr>
                <w:color w:val="000000"/>
                <w:kern w:val="24"/>
              </w:rPr>
              <w:t>28.02±0.17</w:t>
            </w:r>
            <w:r w:rsidRPr="00441D11">
              <w:rPr>
                <w:color w:val="000000"/>
                <w:kern w:val="24"/>
                <w:position w:val="6"/>
                <w:vertAlign w:val="superscript"/>
              </w:rPr>
              <w:t>dB</w:t>
            </w:r>
          </w:p>
        </w:tc>
        <w:tc>
          <w:tcPr>
            <w:tcW w:w="1444"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37.33±0.24</w:t>
            </w:r>
            <w:r w:rsidRPr="00441D11">
              <w:rPr>
                <w:color w:val="000000"/>
                <w:kern w:val="24"/>
                <w:position w:val="6"/>
                <w:vertAlign w:val="superscript"/>
              </w:rPr>
              <w:t>eA</w:t>
            </w:r>
          </w:p>
          <w:p w:rsidR="00F934C1" w:rsidRPr="00441D11" w:rsidRDefault="00F934C1" w:rsidP="00F934C1">
            <w:pPr>
              <w:autoSpaceDE/>
              <w:autoSpaceDN/>
              <w:adjustRightInd/>
              <w:spacing w:line="240" w:lineRule="auto"/>
              <w:jc w:val="left"/>
            </w:pPr>
            <w:r w:rsidRPr="00441D11">
              <w:rPr>
                <w:color w:val="000000"/>
                <w:kern w:val="24"/>
              </w:rPr>
              <w:t>24.62±0.18</w:t>
            </w:r>
            <w:r w:rsidRPr="00441D11">
              <w:rPr>
                <w:color w:val="000000"/>
                <w:kern w:val="24"/>
                <w:position w:val="6"/>
                <w:vertAlign w:val="superscript"/>
              </w:rPr>
              <w:t>dA</w:t>
            </w:r>
          </w:p>
        </w:tc>
        <w:tc>
          <w:tcPr>
            <w:tcW w:w="1421"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47.20±0.67</w:t>
            </w:r>
            <w:r w:rsidRPr="00441D11">
              <w:rPr>
                <w:color w:val="000000"/>
                <w:kern w:val="24"/>
                <w:position w:val="6"/>
                <w:vertAlign w:val="superscript"/>
              </w:rPr>
              <w:t>fC</w:t>
            </w:r>
          </w:p>
          <w:p w:rsidR="00F934C1" w:rsidRPr="00441D11" w:rsidRDefault="00F934C1" w:rsidP="00F934C1">
            <w:pPr>
              <w:autoSpaceDE/>
              <w:autoSpaceDN/>
              <w:adjustRightInd/>
              <w:spacing w:line="240" w:lineRule="auto"/>
              <w:jc w:val="left"/>
            </w:pPr>
            <w:r w:rsidRPr="00441D11">
              <w:rPr>
                <w:color w:val="000000"/>
                <w:kern w:val="24"/>
              </w:rPr>
              <w:t>25.66±0.19</w:t>
            </w:r>
            <w:r w:rsidRPr="00441D11">
              <w:rPr>
                <w:color w:val="000000"/>
                <w:kern w:val="24"/>
                <w:position w:val="6"/>
                <w:vertAlign w:val="superscript"/>
              </w:rPr>
              <w:t>eA</w:t>
            </w:r>
          </w:p>
        </w:tc>
        <w:tc>
          <w:tcPr>
            <w:tcW w:w="1421"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42.74±0.12</w:t>
            </w:r>
            <w:r w:rsidRPr="00441D11">
              <w:rPr>
                <w:color w:val="000000"/>
                <w:kern w:val="24"/>
                <w:position w:val="6"/>
                <w:vertAlign w:val="superscript"/>
              </w:rPr>
              <w:t>fB</w:t>
            </w:r>
          </w:p>
          <w:p w:rsidR="00F934C1" w:rsidRPr="00441D11" w:rsidRDefault="00F934C1" w:rsidP="00F934C1">
            <w:pPr>
              <w:autoSpaceDE/>
              <w:autoSpaceDN/>
              <w:adjustRightInd/>
              <w:spacing w:line="240" w:lineRule="auto"/>
              <w:jc w:val="left"/>
            </w:pPr>
            <w:r w:rsidRPr="00441D11">
              <w:rPr>
                <w:color w:val="000000"/>
                <w:kern w:val="24"/>
              </w:rPr>
              <w:t>23.29±0.10</w:t>
            </w:r>
            <w:r w:rsidRPr="00441D11">
              <w:rPr>
                <w:color w:val="000000"/>
                <w:kern w:val="24"/>
                <w:position w:val="6"/>
                <w:vertAlign w:val="superscript"/>
              </w:rPr>
              <w:t>eA</w:t>
            </w:r>
          </w:p>
        </w:tc>
        <w:tc>
          <w:tcPr>
            <w:tcW w:w="1421"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80.62±0.76</w:t>
            </w:r>
            <w:r w:rsidRPr="00441D11">
              <w:rPr>
                <w:color w:val="000000"/>
                <w:kern w:val="24"/>
                <w:position w:val="6"/>
                <w:vertAlign w:val="superscript"/>
              </w:rPr>
              <w:t>hD</w:t>
            </w:r>
          </w:p>
          <w:p w:rsidR="00F934C1" w:rsidRPr="00441D11" w:rsidRDefault="00F934C1" w:rsidP="00F934C1">
            <w:pPr>
              <w:autoSpaceDE/>
              <w:autoSpaceDN/>
              <w:adjustRightInd/>
              <w:spacing w:line="240" w:lineRule="auto"/>
              <w:jc w:val="left"/>
            </w:pPr>
            <w:r w:rsidRPr="00441D11">
              <w:rPr>
                <w:color w:val="000000"/>
                <w:kern w:val="24"/>
              </w:rPr>
              <w:t>48.04±0.11</w:t>
            </w:r>
            <w:r w:rsidRPr="00441D11">
              <w:rPr>
                <w:color w:val="000000"/>
                <w:kern w:val="24"/>
                <w:position w:val="6"/>
                <w:vertAlign w:val="superscript"/>
              </w:rPr>
              <w:t>gC</w:t>
            </w:r>
          </w:p>
        </w:tc>
        <w:tc>
          <w:tcPr>
            <w:tcW w:w="1421"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82.50±1.20</w:t>
            </w:r>
            <w:r w:rsidRPr="00441D11">
              <w:rPr>
                <w:color w:val="000000"/>
                <w:kern w:val="24"/>
                <w:position w:val="6"/>
                <w:vertAlign w:val="superscript"/>
              </w:rPr>
              <w:t>hD</w:t>
            </w:r>
          </w:p>
          <w:p w:rsidR="00F934C1" w:rsidRPr="00441D11" w:rsidRDefault="00F934C1" w:rsidP="00F934C1">
            <w:pPr>
              <w:autoSpaceDE/>
              <w:autoSpaceDN/>
              <w:adjustRightInd/>
              <w:spacing w:line="240" w:lineRule="auto"/>
              <w:jc w:val="left"/>
            </w:pPr>
            <w:r w:rsidRPr="00441D11">
              <w:rPr>
                <w:color w:val="000000"/>
                <w:kern w:val="24"/>
              </w:rPr>
              <w:t>50.01±0.11</w:t>
            </w:r>
            <w:r w:rsidRPr="00441D11">
              <w:rPr>
                <w:color w:val="000000"/>
                <w:kern w:val="24"/>
                <w:position w:val="6"/>
                <w:vertAlign w:val="superscript"/>
              </w:rPr>
              <w:t>gC</w:t>
            </w:r>
          </w:p>
        </w:tc>
      </w:tr>
      <w:tr w:rsidR="00F934C1" w:rsidRPr="00441D11" w:rsidTr="00F934C1">
        <w:trPr>
          <w:gridAfter w:val="1"/>
          <w:wAfter w:w="25" w:type="dxa"/>
          <w:trHeight w:val="470"/>
        </w:trPr>
        <w:tc>
          <w:tcPr>
            <w:tcW w:w="1421"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15 </w:t>
            </w:r>
          </w:p>
        </w:tc>
        <w:tc>
          <w:tcPr>
            <w:tcW w:w="1625"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20.32±0.92</w:t>
            </w:r>
            <w:r w:rsidRPr="00441D11">
              <w:rPr>
                <w:color w:val="000000"/>
                <w:kern w:val="24"/>
                <w:position w:val="6"/>
                <w:vertAlign w:val="superscript"/>
              </w:rPr>
              <w:t xml:space="preserve">dA </w:t>
            </w:r>
          </w:p>
        </w:tc>
        <w:tc>
          <w:tcPr>
            <w:tcW w:w="162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18.91±0.16</w:t>
            </w:r>
            <w:r w:rsidRPr="00441D11">
              <w:rPr>
                <w:color w:val="000000"/>
                <w:kern w:val="24"/>
                <w:position w:val="6"/>
                <w:vertAlign w:val="superscript"/>
              </w:rPr>
              <w:t>c A</w:t>
            </w:r>
          </w:p>
        </w:tc>
        <w:tc>
          <w:tcPr>
            <w:tcW w:w="152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20.36±0.83</w:t>
            </w:r>
            <w:r w:rsidRPr="00441D11">
              <w:rPr>
                <w:color w:val="000000"/>
                <w:kern w:val="24"/>
                <w:position w:val="6"/>
                <w:vertAlign w:val="superscript"/>
              </w:rPr>
              <w:t>cA</w:t>
            </w:r>
          </w:p>
        </w:tc>
        <w:tc>
          <w:tcPr>
            <w:tcW w:w="144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19.57±0.66</w:t>
            </w:r>
            <w:r w:rsidRPr="00441D11">
              <w:rPr>
                <w:color w:val="000000"/>
                <w:kern w:val="24"/>
                <w:position w:val="6"/>
                <w:vertAlign w:val="superscript"/>
              </w:rPr>
              <w:t>cA</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20.33±0.22</w:t>
            </w:r>
            <w:r w:rsidRPr="00441D11">
              <w:rPr>
                <w:color w:val="000000"/>
                <w:kern w:val="24"/>
                <w:position w:val="6"/>
                <w:vertAlign w:val="superscript"/>
              </w:rPr>
              <w:t>dA</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19.40±0.12</w:t>
            </w:r>
            <w:r w:rsidRPr="00441D11">
              <w:rPr>
                <w:color w:val="000000"/>
                <w:kern w:val="24"/>
                <w:position w:val="6"/>
                <w:vertAlign w:val="superscript"/>
              </w:rPr>
              <w:t>dA</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29.92±0.26</w:t>
            </w:r>
            <w:r w:rsidRPr="00441D11">
              <w:rPr>
                <w:color w:val="000000"/>
                <w:kern w:val="24"/>
                <w:position w:val="6"/>
                <w:vertAlign w:val="superscript"/>
              </w:rPr>
              <w:t>fB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33.34±0.90</w:t>
            </w:r>
            <w:r w:rsidRPr="00441D11">
              <w:rPr>
                <w:color w:val="000000"/>
                <w:kern w:val="24"/>
                <w:position w:val="6"/>
                <w:vertAlign w:val="superscript"/>
              </w:rPr>
              <w:t>fC</w:t>
            </w:r>
          </w:p>
        </w:tc>
      </w:tr>
      <w:tr w:rsidR="00F934C1" w:rsidRPr="00441D11" w:rsidTr="00F934C1">
        <w:trPr>
          <w:gridAfter w:val="1"/>
          <w:wAfter w:w="25" w:type="dxa"/>
          <w:trHeight w:val="642"/>
        </w:trPr>
        <w:tc>
          <w:tcPr>
            <w:tcW w:w="1421"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20 </w:t>
            </w:r>
          </w:p>
        </w:tc>
        <w:tc>
          <w:tcPr>
            <w:tcW w:w="1625"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19.49±0.18</w:t>
            </w:r>
            <w:r w:rsidRPr="00441D11">
              <w:rPr>
                <w:color w:val="000000"/>
                <w:kern w:val="24"/>
                <w:position w:val="6"/>
                <w:vertAlign w:val="superscript"/>
              </w:rPr>
              <w:t xml:space="preserve">bA </w:t>
            </w:r>
          </w:p>
        </w:tc>
        <w:tc>
          <w:tcPr>
            <w:tcW w:w="162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17.13±0.02</w:t>
            </w:r>
            <w:r w:rsidRPr="00441D11">
              <w:rPr>
                <w:color w:val="000000"/>
                <w:kern w:val="24"/>
                <w:position w:val="6"/>
                <w:vertAlign w:val="superscript"/>
              </w:rPr>
              <w:t xml:space="preserve">bA </w:t>
            </w:r>
          </w:p>
        </w:tc>
        <w:tc>
          <w:tcPr>
            <w:tcW w:w="152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18.81±0.57</w:t>
            </w:r>
            <w:r w:rsidRPr="00441D11">
              <w:rPr>
                <w:color w:val="000000"/>
                <w:kern w:val="24"/>
                <w:position w:val="6"/>
                <w:vertAlign w:val="superscript"/>
              </w:rPr>
              <w:t>bA</w:t>
            </w:r>
          </w:p>
        </w:tc>
        <w:tc>
          <w:tcPr>
            <w:tcW w:w="144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17.61±0.55</w:t>
            </w:r>
            <w:r w:rsidRPr="00441D11">
              <w:rPr>
                <w:color w:val="000000"/>
                <w:kern w:val="24"/>
                <w:position w:val="6"/>
                <w:vertAlign w:val="superscript"/>
              </w:rPr>
              <w:t>cA</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19.51±0.19</w:t>
            </w:r>
            <w:r w:rsidRPr="00441D11">
              <w:rPr>
                <w:color w:val="000000"/>
                <w:kern w:val="24"/>
                <w:position w:val="6"/>
                <w:vertAlign w:val="superscript"/>
              </w:rPr>
              <w:t>cdA</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18.29±0.12</w:t>
            </w:r>
            <w:r w:rsidRPr="00441D11">
              <w:rPr>
                <w:color w:val="000000"/>
                <w:kern w:val="24"/>
                <w:position w:val="6"/>
                <w:vertAlign w:val="superscript"/>
              </w:rPr>
              <w:t>cdA</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23.00±0.94</w:t>
            </w:r>
            <w:r w:rsidRPr="00441D11">
              <w:rPr>
                <w:color w:val="000000"/>
                <w:kern w:val="24"/>
                <w:position w:val="6"/>
                <w:vertAlign w:val="superscript"/>
              </w:rPr>
              <w:t>eB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24.21±1.11</w:t>
            </w:r>
            <w:r w:rsidRPr="00441D11">
              <w:rPr>
                <w:color w:val="000000"/>
                <w:kern w:val="24"/>
                <w:position w:val="6"/>
                <w:vertAlign w:val="superscript"/>
              </w:rPr>
              <w:t>eB</w:t>
            </w:r>
          </w:p>
        </w:tc>
      </w:tr>
      <w:tr w:rsidR="00F934C1" w:rsidRPr="00441D11" w:rsidTr="00F934C1">
        <w:trPr>
          <w:gridAfter w:val="1"/>
          <w:wAfter w:w="25" w:type="dxa"/>
          <w:trHeight w:val="763"/>
        </w:trPr>
        <w:tc>
          <w:tcPr>
            <w:tcW w:w="1421"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25 </w:t>
            </w:r>
          </w:p>
        </w:tc>
        <w:tc>
          <w:tcPr>
            <w:tcW w:w="1625"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17.31±0.72</w:t>
            </w:r>
            <w:r w:rsidRPr="00441D11">
              <w:rPr>
                <w:color w:val="000000"/>
                <w:kern w:val="24"/>
                <w:position w:val="6"/>
                <w:vertAlign w:val="superscript"/>
              </w:rPr>
              <w:t xml:space="preserve">bB </w:t>
            </w:r>
          </w:p>
        </w:tc>
        <w:tc>
          <w:tcPr>
            <w:tcW w:w="162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16.84±0.11</w:t>
            </w:r>
            <w:r w:rsidRPr="00441D11">
              <w:rPr>
                <w:color w:val="000000"/>
                <w:kern w:val="24"/>
                <w:position w:val="6"/>
                <w:vertAlign w:val="superscript"/>
              </w:rPr>
              <w:t>b B</w:t>
            </w:r>
          </w:p>
        </w:tc>
        <w:tc>
          <w:tcPr>
            <w:tcW w:w="152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17.36±0.49</w:t>
            </w:r>
            <w:r w:rsidRPr="00441D11">
              <w:rPr>
                <w:color w:val="000000"/>
                <w:kern w:val="24"/>
                <w:position w:val="6"/>
                <w:vertAlign w:val="superscript"/>
              </w:rPr>
              <w:t>bB</w:t>
            </w:r>
          </w:p>
        </w:tc>
        <w:tc>
          <w:tcPr>
            <w:tcW w:w="144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16.22±0.10</w:t>
            </w:r>
            <w:r w:rsidRPr="00441D11">
              <w:rPr>
                <w:color w:val="000000"/>
                <w:kern w:val="24"/>
                <w:position w:val="6"/>
                <w:vertAlign w:val="superscript"/>
              </w:rPr>
              <w:t>bB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17.43±1.06</w:t>
            </w:r>
            <w:r w:rsidRPr="00441D11">
              <w:rPr>
                <w:color w:val="000000"/>
                <w:kern w:val="24"/>
                <w:position w:val="6"/>
                <w:vertAlign w:val="superscript"/>
              </w:rPr>
              <w:t>cB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17.89±0.12</w:t>
            </w:r>
            <w:r w:rsidRPr="00441D11">
              <w:rPr>
                <w:color w:val="000000"/>
                <w:kern w:val="24"/>
                <w:position w:val="6"/>
                <w:vertAlign w:val="superscript"/>
              </w:rPr>
              <w:t>cB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14.54±0.50</w:t>
            </w:r>
            <w:r w:rsidRPr="00441D11">
              <w:rPr>
                <w:color w:val="000000"/>
                <w:kern w:val="24"/>
                <w:position w:val="6"/>
                <w:vertAlign w:val="superscript"/>
              </w:rPr>
              <w:t>dA</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14.67±0.19</w:t>
            </w:r>
            <w:r w:rsidRPr="00441D11">
              <w:rPr>
                <w:color w:val="000000"/>
                <w:kern w:val="24"/>
                <w:position w:val="6"/>
                <w:vertAlign w:val="superscript"/>
              </w:rPr>
              <w:t>dA</w:t>
            </w:r>
          </w:p>
        </w:tc>
      </w:tr>
      <w:tr w:rsidR="00F934C1" w:rsidRPr="00441D11" w:rsidTr="00F934C1">
        <w:trPr>
          <w:gridAfter w:val="1"/>
          <w:wAfter w:w="25" w:type="dxa"/>
          <w:trHeight w:val="869"/>
        </w:trPr>
        <w:tc>
          <w:tcPr>
            <w:tcW w:w="1421"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30 </w:t>
            </w:r>
          </w:p>
        </w:tc>
        <w:tc>
          <w:tcPr>
            <w:tcW w:w="1625"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16.97±1.11</w:t>
            </w:r>
            <w:r w:rsidRPr="00441D11">
              <w:rPr>
                <w:color w:val="000000"/>
                <w:kern w:val="24"/>
                <w:position w:val="6"/>
                <w:vertAlign w:val="superscript"/>
              </w:rPr>
              <w:t xml:space="preserve">aB </w:t>
            </w:r>
          </w:p>
        </w:tc>
        <w:tc>
          <w:tcPr>
            <w:tcW w:w="162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15.47±0.71</w:t>
            </w:r>
            <w:r w:rsidRPr="00441D11">
              <w:rPr>
                <w:color w:val="000000"/>
                <w:kern w:val="24"/>
                <w:position w:val="6"/>
                <w:vertAlign w:val="superscript"/>
              </w:rPr>
              <w:t>bB</w:t>
            </w:r>
          </w:p>
        </w:tc>
        <w:tc>
          <w:tcPr>
            <w:tcW w:w="152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15.73±0.07</w:t>
            </w:r>
            <w:r w:rsidRPr="00441D11">
              <w:rPr>
                <w:color w:val="000000"/>
                <w:kern w:val="24"/>
                <w:position w:val="6"/>
                <w:vertAlign w:val="superscript"/>
              </w:rPr>
              <w:t>aB</w:t>
            </w:r>
          </w:p>
        </w:tc>
        <w:tc>
          <w:tcPr>
            <w:tcW w:w="144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15.68±1.65</w:t>
            </w:r>
            <w:r w:rsidRPr="00441D11">
              <w:rPr>
                <w:color w:val="000000"/>
                <w:kern w:val="24"/>
                <w:position w:val="6"/>
                <w:vertAlign w:val="superscript"/>
              </w:rPr>
              <w:t>aB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16.19±0.16</w:t>
            </w:r>
            <w:r w:rsidRPr="00441D11">
              <w:rPr>
                <w:color w:val="000000"/>
                <w:kern w:val="24"/>
                <w:position w:val="6"/>
                <w:vertAlign w:val="superscript"/>
              </w:rPr>
              <w:t>bB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15.58±0.12</w:t>
            </w:r>
            <w:r w:rsidRPr="00441D11">
              <w:rPr>
                <w:color w:val="000000"/>
                <w:kern w:val="24"/>
                <w:position w:val="6"/>
                <w:vertAlign w:val="superscript"/>
              </w:rPr>
              <w:t>bB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7.48±0.72</w:t>
            </w:r>
            <w:r w:rsidRPr="00441D11">
              <w:rPr>
                <w:color w:val="000000"/>
                <w:kern w:val="24"/>
                <w:position w:val="6"/>
                <w:vertAlign w:val="superscript"/>
              </w:rPr>
              <w:t>cA</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8.54±0.49</w:t>
            </w:r>
            <w:r w:rsidRPr="00441D11">
              <w:rPr>
                <w:color w:val="000000"/>
                <w:kern w:val="24"/>
                <w:position w:val="6"/>
                <w:vertAlign w:val="superscript"/>
              </w:rPr>
              <w:t>cA</w:t>
            </w:r>
          </w:p>
        </w:tc>
      </w:tr>
      <w:tr w:rsidR="00F934C1" w:rsidRPr="00441D11" w:rsidTr="00F934C1">
        <w:trPr>
          <w:gridAfter w:val="1"/>
          <w:wAfter w:w="25" w:type="dxa"/>
          <w:trHeight w:val="814"/>
        </w:trPr>
        <w:tc>
          <w:tcPr>
            <w:tcW w:w="1421"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35 </w:t>
            </w:r>
          </w:p>
        </w:tc>
        <w:tc>
          <w:tcPr>
            <w:tcW w:w="1625"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15.02±0.10</w:t>
            </w:r>
            <w:r w:rsidRPr="00441D11">
              <w:rPr>
                <w:color w:val="000000"/>
                <w:kern w:val="24"/>
                <w:position w:val="6"/>
                <w:vertAlign w:val="superscript"/>
              </w:rPr>
              <w:t>a B</w:t>
            </w:r>
          </w:p>
        </w:tc>
        <w:tc>
          <w:tcPr>
            <w:tcW w:w="1625"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14.56±0.32</w:t>
            </w:r>
            <w:r w:rsidRPr="00441D11">
              <w:rPr>
                <w:color w:val="000000"/>
                <w:kern w:val="24"/>
                <w:position w:val="6"/>
                <w:vertAlign w:val="superscript"/>
              </w:rPr>
              <w:t>aB</w:t>
            </w:r>
          </w:p>
        </w:tc>
        <w:tc>
          <w:tcPr>
            <w:tcW w:w="1523"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14.34±0.34</w:t>
            </w:r>
            <w:r w:rsidRPr="00441D11">
              <w:rPr>
                <w:color w:val="000000"/>
                <w:kern w:val="24"/>
                <w:position w:val="6"/>
                <w:vertAlign w:val="superscript"/>
              </w:rPr>
              <w:t>aB</w:t>
            </w:r>
          </w:p>
        </w:tc>
        <w:tc>
          <w:tcPr>
            <w:tcW w:w="1444"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14.96±0.23</w:t>
            </w:r>
            <w:r w:rsidRPr="00441D11">
              <w:rPr>
                <w:color w:val="000000"/>
                <w:kern w:val="24"/>
                <w:position w:val="6"/>
                <w:vertAlign w:val="superscript"/>
              </w:rPr>
              <w:t>aB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14.56±0.99</w:t>
            </w:r>
            <w:r w:rsidRPr="00441D11">
              <w:rPr>
                <w:color w:val="000000"/>
                <w:kern w:val="24"/>
                <w:position w:val="6"/>
                <w:vertAlign w:val="superscript"/>
              </w:rPr>
              <w:t>aB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14.06±0.12</w:t>
            </w:r>
            <w:r w:rsidRPr="00441D11">
              <w:rPr>
                <w:color w:val="000000"/>
                <w:kern w:val="24"/>
                <w:position w:val="6"/>
                <w:vertAlign w:val="superscript"/>
              </w:rPr>
              <w:t>aB</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6.24±0.63</w:t>
            </w:r>
            <w:r w:rsidRPr="00441D11">
              <w:rPr>
                <w:color w:val="000000"/>
                <w:kern w:val="24"/>
                <w:position w:val="6"/>
                <w:vertAlign w:val="superscript"/>
              </w:rPr>
              <w:t>bA</w:t>
            </w:r>
          </w:p>
        </w:tc>
        <w:tc>
          <w:tcPr>
            <w:tcW w:w="1421"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5.34±0.86</w:t>
            </w:r>
            <w:r w:rsidRPr="00441D11">
              <w:rPr>
                <w:color w:val="000000"/>
                <w:kern w:val="24"/>
                <w:position w:val="6"/>
                <w:vertAlign w:val="superscript"/>
              </w:rPr>
              <w:t>bA</w:t>
            </w:r>
          </w:p>
        </w:tc>
      </w:tr>
      <w:tr w:rsidR="00F934C1" w:rsidRPr="00441D11" w:rsidTr="00F934C1">
        <w:trPr>
          <w:gridAfter w:val="1"/>
          <w:wAfter w:w="25" w:type="dxa"/>
          <w:trHeight w:val="279"/>
        </w:trPr>
        <w:tc>
          <w:tcPr>
            <w:tcW w:w="1421" w:type="dxa"/>
            <w:tcBorders>
              <w:top w:val="nil"/>
              <w:left w:val="nil"/>
              <w:bottom w:val="single" w:sz="8" w:space="0" w:color="000000"/>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Day 40 </w:t>
            </w:r>
          </w:p>
        </w:tc>
        <w:tc>
          <w:tcPr>
            <w:tcW w:w="1625" w:type="dxa"/>
            <w:tcBorders>
              <w:top w:val="nil"/>
              <w:left w:val="single" w:sz="8" w:space="0" w:color="000000"/>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14.98±0.09</w:t>
            </w:r>
            <w:r w:rsidRPr="00441D11">
              <w:rPr>
                <w:color w:val="000000"/>
                <w:kern w:val="24"/>
                <w:position w:val="6"/>
                <w:vertAlign w:val="superscript"/>
              </w:rPr>
              <w:t xml:space="preserve">aB </w:t>
            </w:r>
          </w:p>
        </w:tc>
        <w:tc>
          <w:tcPr>
            <w:tcW w:w="1625"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13.28±1.12</w:t>
            </w:r>
            <w:r w:rsidRPr="00441D11">
              <w:rPr>
                <w:color w:val="000000"/>
                <w:kern w:val="24"/>
                <w:position w:val="6"/>
                <w:vertAlign w:val="superscript"/>
              </w:rPr>
              <w:t>aB</w:t>
            </w:r>
          </w:p>
        </w:tc>
        <w:tc>
          <w:tcPr>
            <w:tcW w:w="1523"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14.11±0.44</w:t>
            </w:r>
            <w:r w:rsidRPr="00441D11">
              <w:rPr>
                <w:color w:val="000000"/>
                <w:kern w:val="24"/>
                <w:position w:val="6"/>
                <w:vertAlign w:val="superscript"/>
              </w:rPr>
              <w:t>aB</w:t>
            </w:r>
          </w:p>
        </w:tc>
        <w:tc>
          <w:tcPr>
            <w:tcW w:w="1444"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13.93±0.41</w:t>
            </w:r>
            <w:r w:rsidRPr="00441D11">
              <w:rPr>
                <w:color w:val="000000"/>
                <w:kern w:val="24"/>
                <w:position w:val="6"/>
                <w:vertAlign w:val="superscript"/>
              </w:rPr>
              <w:t>aB</w:t>
            </w:r>
          </w:p>
        </w:tc>
        <w:tc>
          <w:tcPr>
            <w:tcW w:w="1421"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14.49±1.03</w:t>
            </w:r>
            <w:r w:rsidRPr="00441D11">
              <w:rPr>
                <w:color w:val="000000"/>
                <w:kern w:val="24"/>
                <w:position w:val="6"/>
                <w:vertAlign w:val="superscript"/>
              </w:rPr>
              <w:t>aB</w:t>
            </w:r>
          </w:p>
        </w:tc>
        <w:tc>
          <w:tcPr>
            <w:tcW w:w="1421"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13.81±0.12</w:t>
            </w:r>
            <w:r w:rsidRPr="00441D11">
              <w:rPr>
                <w:color w:val="000000"/>
                <w:kern w:val="24"/>
                <w:position w:val="6"/>
                <w:vertAlign w:val="superscript"/>
              </w:rPr>
              <w:t>aB</w:t>
            </w:r>
          </w:p>
        </w:tc>
        <w:tc>
          <w:tcPr>
            <w:tcW w:w="1421"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5.38±0.14</w:t>
            </w:r>
            <w:r w:rsidRPr="00441D11">
              <w:rPr>
                <w:color w:val="000000"/>
                <w:kern w:val="24"/>
                <w:position w:val="6"/>
                <w:vertAlign w:val="superscript"/>
              </w:rPr>
              <w:t>aA</w:t>
            </w:r>
          </w:p>
        </w:tc>
        <w:tc>
          <w:tcPr>
            <w:tcW w:w="1421"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left"/>
            </w:pPr>
            <w:r w:rsidRPr="00441D11">
              <w:rPr>
                <w:color w:val="000000"/>
                <w:kern w:val="24"/>
              </w:rPr>
              <w:t>5.08±1.07</w:t>
            </w:r>
            <w:r w:rsidRPr="00441D11">
              <w:rPr>
                <w:color w:val="000000"/>
                <w:kern w:val="24"/>
                <w:position w:val="6"/>
                <w:vertAlign w:val="superscript"/>
              </w:rPr>
              <w:t>a</w:t>
            </w:r>
            <w:r>
              <w:rPr>
                <w:color w:val="000000"/>
                <w:kern w:val="24"/>
                <w:position w:val="6"/>
                <w:vertAlign w:val="superscript"/>
              </w:rPr>
              <w:t>A</w:t>
            </w:r>
          </w:p>
        </w:tc>
      </w:tr>
    </w:tbl>
    <w:p w:rsidR="00F934C1" w:rsidRPr="00441D11" w:rsidRDefault="00F934C1" w:rsidP="00F934C1">
      <w:pPr>
        <w:spacing w:line="240" w:lineRule="auto"/>
        <w:rPr>
          <w:lang w:val="sw-KE" w:eastAsia="sw-KE"/>
        </w:rPr>
      </w:pPr>
      <w:r w:rsidRPr="00441D11">
        <w:rPr>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autoSpaceDE/>
        <w:autoSpaceDN/>
        <w:adjustRightInd/>
        <w:spacing w:after="200" w:line="240" w:lineRule="auto"/>
        <w:jc w:val="left"/>
      </w:pPr>
      <w:r w:rsidRPr="00BB4B6E">
        <w:br w:type="page"/>
      </w:r>
    </w:p>
    <w:p w:rsidR="00F934C1" w:rsidRPr="00441D11" w:rsidRDefault="00F934C1" w:rsidP="00F934C1">
      <w:pPr>
        <w:pStyle w:val="Heading4"/>
        <w:rPr>
          <w:rFonts w:cs="Times New Roman"/>
        </w:rPr>
      </w:pPr>
      <w:bookmarkStart w:id="286" w:name="_Toc120047589"/>
      <w:bookmarkStart w:id="287" w:name="_Toc144222354"/>
      <w:bookmarkEnd w:id="284"/>
      <w:bookmarkEnd w:id="285"/>
      <w:r w:rsidRPr="00441D11">
        <w:rPr>
          <w:rFonts w:cs="Times New Roman"/>
        </w:rPr>
        <w:lastRenderedPageBreak/>
        <w:t>Table 4.23: Potassium nutrient release concentrations by nano-fertilizers and conventional fertilizers</w:t>
      </w:r>
      <w:bookmarkEnd w:id="286"/>
      <w:bookmarkEnd w:id="287"/>
    </w:p>
    <w:tbl>
      <w:tblPr>
        <w:tblW w:w="13386" w:type="dxa"/>
        <w:tblInd w:w="-522" w:type="dxa"/>
        <w:tblCellMar>
          <w:left w:w="0" w:type="dxa"/>
          <w:right w:w="0" w:type="dxa"/>
        </w:tblCellMar>
        <w:tblLook w:val="04A0" w:firstRow="1" w:lastRow="0" w:firstColumn="1" w:lastColumn="0" w:noHBand="0" w:noVBand="1"/>
      </w:tblPr>
      <w:tblGrid>
        <w:gridCol w:w="1371"/>
        <w:gridCol w:w="1607"/>
        <w:gridCol w:w="1607"/>
        <w:gridCol w:w="1515"/>
        <w:gridCol w:w="1445"/>
        <w:gridCol w:w="1485"/>
        <w:gridCol w:w="1485"/>
        <w:gridCol w:w="1425"/>
        <w:gridCol w:w="1425"/>
        <w:gridCol w:w="21"/>
      </w:tblGrid>
      <w:tr w:rsidR="00F934C1" w:rsidRPr="00441D11" w:rsidTr="00F934C1">
        <w:trPr>
          <w:trHeight w:val="852"/>
        </w:trPr>
        <w:tc>
          <w:tcPr>
            <w:tcW w:w="1426" w:type="dxa"/>
            <w:vMerge w:val="restart"/>
            <w:tcBorders>
              <w:top w:val="single" w:sz="8" w:space="0" w:color="000000"/>
              <w:left w:val="nil"/>
              <w:bottom w:val="single" w:sz="8" w:space="0" w:color="000000"/>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jc w:val="center"/>
              <w:rPr>
                <w:b/>
              </w:rPr>
            </w:pPr>
            <w:r>
              <w:rPr>
                <w:b/>
                <w:color w:val="000000"/>
                <w:kern w:val="24"/>
              </w:rPr>
              <w:t>Days of</w:t>
            </w:r>
            <w:r w:rsidRPr="00441D11">
              <w:rPr>
                <w:b/>
                <w:color w:val="000000"/>
                <w:kern w:val="24"/>
              </w:rPr>
              <w:t xml:space="preserve"> E</w:t>
            </w:r>
            <w:r>
              <w:rPr>
                <w:b/>
                <w:color w:val="000000"/>
                <w:kern w:val="24"/>
              </w:rPr>
              <w:t>lution</w:t>
            </w:r>
          </w:p>
        </w:tc>
        <w:tc>
          <w:tcPr>
            <w:tcW w:w="11960" w:type="dxa"/>
            <w:gridSpan w:val="9"/>
            <w:tcBorders>
              <w:top w:val="single" w:sz="4" w:space="0" w:color="auto"/>
              <w:bottom w:val="single" w:sz="4" w:space="0" w:color="auto"/>
            </w:tcBorders>
            <w:shd w:val="clear" w:color="auto" w:fill="auto"/>
          </w:tcPr>
          <w:p w:rsidR="00F934C1" w:rsidRPr="00441D11" w:rsidRDefault="00F934C1" w:rsidP="00F934C1">
            <w:pPr>
              <w:autoSpaceDE/>
              <w:autoSpaceDN/>
              <w:adjustRightInd/>
              <w:spacing w:line="240" w:lineRule="auto"/>
              <w:jc w:val="center"/>
              <w:rPr>
                <w:color w:val="000000"/>
                <w:kern w:val="24"/>
              </w:rPr>
            </w:pPr>
            <w:r w:rsidRPr="00441D11">
              <w:rPr>
                <w:color w:val="000000"/>
                <w:kern w:val="24"/>
              </w:rPr>
              <w:t>Released Potassium (</w:t>
            </w:r>
            <w:r w:rsidRPr="00441D11">
              <w:rPr>
                <w:b/>
                <w:color w:val="000000"/>
                <w:kern w:val="24"/>
              </w:rPr>
              <w:t>K</w:t>
            </w:r>
            <w:r w:rsidRPr="00441D11">
              <w:rPr>
                <w:b/>
                <w:color w:val="000000"/>
                <w:kern w:val="24"/>
                <w:position w:val="7"/>
                <w:vertAlign w:val="superscript"/>
              </w:rPr>
              <w:t>+</w:t>
            </w:r>
            <w:r w:rsidRPr="00441D11">
              <w:rPr>
                <w:color w:val="000000"/>
                <w:kern w:val="24"/>
              </w:rPr>
              <w:t>) concentration</w:t>
            </w:r>
          </w:p>
          <w:p w:rsidR="00F934C1" w:rsidRPr="00441D11" w:rsidRDefault="00F934C1" w:rsidP="00F934C1">
            <w:pPr>
              <w:autoSpaceDE/>
              <w:autoSpaceDN/>
              <w:adjustRightInd/>
              <w:spacing w:line="240" w:lineRule="auto"/>
              <w:ind w:left="187"/>
              <w:jc w:val="center"/>
              <w:rPr>
                <w:rFonts w:eastAsia="Calibri"/>
                <w:b/>
                <w:bCs/>
                <w:color w:val="000000"/>
                <w:kern w:val="24"/>
              </w:rPr>
            </w:pPr>
            <w:r w:rsidRPr="00441D11">
              <w:rPr>
                <w:b/>
                <w:color w:val="000000"/>
              </w:rPr>
              <w:t>Mean± SD</w:t>
            </w:r>
            <w:r w:rsidRPr="00441D11">
              <w:rPr>
                <w:rFonts w:eastAsia="Calibri"/>
                <w:b/>
                <w:bCs/>
                <w:color w:val="000000"/>
                <w:kern w:val="24"/>
              </w:rPr>
              <w:t xml:space="preserve"> (</w:t>
            </w:r>
            <w:r w:rsidRPr="00441D11">
              <w:rPr>
                <w:color w:val="000000"/>
                <w:kern w:val="24"/>
              </w:rPr>
              <w:t>µgg</w:t>
            </w:r>
            <w:r w:rsidRPr="00441D11">
              <w:rPr>
                <w:color w:val="000000"/>
                <w:kern w:val="24"/>
                <w:position w:val="7"/>
                <w:vertAlign w:val="superscript"/>
              </w:rPr>
              <w:t>-1</w:t>
            </w:r>
            <w:r w:rsidRPr="00441D11">
              <w:rPr>
                <w:rFonts w:eastAsia="Calibri"/>
                <w:b/>
                <w:bCs/>
                <w:color w:val="000000"/>
                <w:kern w:val="24"/>
              </w:rPr>
              <w:t>)</w:t>
            </w:r>
          </w:p>
          <w:p w:rsidR="00F934C1" w:rsidRPr="00441D11" w:rsidRDefault="00F934C1" w:rsidP="00F934C1">
            <w:pPr>
              <w:autoSpaceDE/>
              <w:autoSpaceDN/>
              <w:adjustRightInd/>
              <w:jc w:val="center"/>
              <w:rPr>
                <w:color w:val="000000"/>
                <w:kern w:val="24"/>
              </w:rPr>
            </w:pPr>
            <w:r w:rsidRPr="00441D11">
              <w:rPr>
                <w:b/>
                <w:color w:val="000000"/>
              </w:rPr>
              <w:t>n=9</w:t>
            </w:r>
          </w:p>
        </w:tc>
      </w:tr>
      <w:tr w:rsidR="00F934C1" w:rsidRPr="00441D11" w:rsidTr="00F934C1">
        <w:trPr>
          <w:gridAfter w:val="1"/>
          <w:wAfter w:w="23" w:type="dxa"/>
          <w:trHeight w:val="786"/>
        </w:trPr>
        <w:tc>
          <w:tcPr>
            <w:tcW w:w="1426" w:type="dxa"/>
            <w:vMerge/>
            <w:tcBorders>
              <w:top w:val="single" w:sz="8" w:space="0" w:color="000000"/>
              <w:left w:val="nil"/>
              <w:bottom w:val="single" w:sz="8" w:space="0" w:color="000000"/>
              <w:right w:val="single" w:sz="8" w:space="0" w:color="000000"/>
            </w:tcBorders>
            <w:vAlign w:val="center"/>
            <w:hideMark/>
          </w:tcPr>
          <w:p w:rsidR="00F934C1" w:rsidRPr="00441D11" w:rsidRDefault="00F934C1" w:rsidP="00F934C1">
            <w:pPr>
              <w:autoSpaceDE/>
              <w:autoSpaceDN/>
              <w:adjustRightInd/>
              <w:spacing w:line="240" w:lineRule="auto"/>
              <w:jc w:val="left"/>
              <w:rPr>
                <w:b/>
              </w:rPr>
            </w:pPr>
          </w:p>
        </w:tc>
        <w:tc>
          <w:tcPr>
            <w:tcW w:w="1629" w:type="dxa"/>
            <w:tcBorders>
              <w:top w:val="single" w:sz="8" w:space="0" w:color="000000"/>
              <w:left w:val="single" w:sz="8" w:space="0" w:color="000000"/>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Bone nHA</w:t>
            </w:r>
          </w:p>
        </w:tc>
        <w:tc>
          <w:tcPr>
            <w:tcW w:w="1629"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Bone nHA+ DAP </w:t>
            </w:r>
          </w:p>
        </w:tc>
        <w:tc>
          <w:tcPr>
            <w:tcW w:w="1527"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Bone nHA+ NPK </w:t>
            </w:r>
          </w:p>
        </w:tc>
        <w:tc>
          <w:tcPr>
            <w:tcW w:w="1448"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Synthetic nHA</w:t>
            </w:r>
          </w:p>
        </w:tc>
        <w:tc>
          <w:tcPr>
            <w:tcW w:w="1426"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Synthetic nHA+ DAP </w:t>
            </w:r>
          </w:p>
        </w:tc>
        <w:tc>
          <w:tcPr>
            <w:tcW w:w="1426"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Synthetic nHA+ NPK </w:t>
            </w:r>
          </w:p>
        </w:tc>
        <w:tc>
          <w:tcPr>
            <w:tcW w:w="1426" w:type="dxa"/>
            <w:tcBorders>
              <w:top w:val="single" w:sz="8" w:space="0" w:color="000000"/>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DAP   </w:t>
            </w:r>
          </w:p>
        </w:tc>
        <w:tc>
          <w:tcPr>
            <w:tcW w:w="1426" w:type="dxa"/>
            <w:tcBorders>
              <w:top w:val="single" w:sz="8" w:space="0" w:color="000000"/>
              <w:left w:val="nil"/>
              <w:bottom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spacing w:line="240" w:lineRule="auto"/>
              <w:rPr>
                <w:b/>
              </w:rPr>
            </w:pPr>
            <w:r w:rsidRPr="00441D11">
              <w:rPr>
                <w:b/>
                <w:color w:val="000000"/>
                <w:kern w:val="24"/>
              </w:rPr>
              <w:t xml:space="preserve">NPK </w:t>
            </w:r>
          </w:p>
        </w:tc>
      </w:tr>
      <w:tr w:rsidR="00F934C1" w:rsidRPr="00441D11" w:rsidTr="00F934C1">
        <w:trPr>
          <w:gridAfter w:val="1"/>
          <w:wAfter w:w="23" w:type="dxa"/>
          <w:trHeight w:val="1033"/>
        </w:trPr>
        <w:tc>
          <w:tcPr>
            <w:tcW w:w="1426" w:type="dxa"/>
            <w:tcBorders>
              <w:top w:val="single" w:sz="8" w:space="0" w:color="000000"/>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rPr>
                <w:b/>
              </w:rPr>
            </w:pPr>
            <w:r w:rsidRPr="00441D11">
              <w:rPr>
                <w:b/>
                <w:color w:val="000000"/>
                <w:kern w:val="24"/>
              </w:rPr>
              <w:t xml:space="preserve">Day 5 </w:t>
            </w:r>
          </w:p>
          <w:p w:rsidR="00F934C1" w:rsidRPr="00441D11" w:rsidRDefault="00F934C1" w:rsidP="00F934C1">
            <w:pPr>
              <w:autoSpaceDE/>
              <w:autoSpaceDN/>
              <w:adjustRightInd/>
              <w:rPr>
                <w:b/>
              </w:rPr>
            </w:pPr>
            <w:r w:rsidRPr="00441D11">
              <w:rPr>
                <w:b/>
                <w:color w:val="000000"/>
                <w:kern w:val="24"/>
              </w:rPr>
              <w:t xml:space="preserve">Day 10 </w:t>
            </w:r>
          </w:p>
        </w:tc>
        <w:tc>
          <w:tcPr>
            <w:tcW w:w="1629" w:type="dxa"/>
            <w:tcBorders>
              <w:top w:val="single" w:sz="8" w:space="0" w:color="000000"/>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39.45±0.35</w:t>
            </w:r>
            <w:r w:rsidRPr="00441D11">
              <w:rPr>
                <w:color w:val="000000"/>
                <w:kern w:val="24"/>
                <w:position w:val="6"/>
                <w:vertAlign w:val="superscript"/>
              </w:rPr>
              <w:t xml:space="preserve">eA </w:t>
            </w:r>
          </w:p>
          <w:p w:rsidR="00F934C1" w:rsidRPr="00441D11" w:rsidRDefault="00F934C1" w:rsidP="00F934C1">
            <w:pPr>
              <w:autoSpaceDE/>
              <w:autoSpaceDN/>
              <w:adjustRightInd/>
              <w:jc w:val="left"/>
            </w:pPr>
            <w:r w:rsidRPr="00441D11">
              <w:rPr>
                <w:color w:val="000000"/>
                <w:kern w:val="24"/>
              </w:rPr>
              <w:t>26.47±0.19</w:t>
            </w:r>
            <w:r w:rsidRPr="00441D11">
              <w:rPr>
                <w:color w:val="000000"/>
                <w:kern w:val="24"/>
                <w:position w:val="6"/>
                <w:vertAlign w:val="superscript"/>
              </w:rPr>
              <w:t xml:space="preserve">gA </w:t>
            </w:r>
          </w:p>
        </w:tc>
        <w:tc>
          <w:tcPr>
            <w:tcW w:w="1629"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46.67±0.14</w:t>
            </w:r>
            <w:r w:rsidRPr="00441D11">
              <w:rPr>
                <w:color w:val="000000"/>
                <w:kern w:val="24"/>
                <w:position w:val="6"/>
                <w:vertAlign w:val="superscript"/>
              </w:rPr>
              <w:t xml:space="preserve">eB </w:t>
            </w:r>
          </w:p>
          <w:p w:rsidR="00F934C1" w:rsidRPr="00441D11" w:rsidRDefault="00F934C1" w:rsidP="00F934C1">
            <w:pPr>
              <w:autoSpaceDE/>
              <w:autoSpaceDN/>
              <w:adjustRightInd/>
              <w:jc w:val="left"/>
            </w:pPr>
            <w:r w:rsidRPr="00441D11">
              <w:rPr>
                <w:color w:val="000000"/>
                <w:kern w:val="24"/>
              </w:rPr>
              <w:t>28.52±0.14</w:t>
            </w:r>
            <w:r w:rsidRPr="00441D11">
              <w:rPr>
                <w:color w:val="000000"/>
                <w:kern w:val="24"/>
                <w:position w:val="6"/>
                <w:vertAlign w:val="superscript"/>
              </w:rPr>
              <w:t xml:space="preserve">dB </w:t>
            </w:r>
          </w:p>
        </w:tc>
        <w:tc>
          <w:tcPr>
            <w:tcW w:w="1527"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46.72±0.12</w:t>
            </w:r>
            <w:r w:rsidRPr="00441D11">
              <w:rPr>
                <w:color w:val="000000"/>
                <w:kern w:val="24"/>
                <w:position w:val="6"/>
                <w:vertAlign w:val="superscript"/>
              </w:rPr>
              <w:t>eB</w:t>
            </w:r>
          </w:p>
          <w:p w:rsidR="00F934C1" w:rsidRPr="00441D11" w:rsidRDefault="00F934C1" w:rsidP="00F934C1">
            <w:pPr>
              <w:autoSpaceDE/>
              <w:autoSpaceDN/>
              <w:adjustRightInd/>
              <w:jc w:val="left"/>
            </w:pPr>
            <w:r w:rsidRPr="00441D11">
              <w:rPr>
                <w:color w:val="000000"/>
                <w:kern w:val="24"/>
              </w:rPr>
              <w:t>30.02±0.18</w:t>
            </w:r>
            <w:r w:rsidRPr="00441D11">
              <w:rPr>
                <w:color w:val="000000"/>
                <w:kern w:val="24"/>
                <w:position w:val="6"/>
                <w:vertAlign w:val="superscript"/>
              </w:rPr>
              <w:t>dB</w:t>
            </w:r>
          </w:p>
        </w:tc>
        <w:tc>
          <w:tcPr>
            <w:tcW w:w="1448"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38.33±0.22</w:t>
            </w:r>
            <w:r w:rsidRPr="00441D11">
              <w:rPr>
                <w:color w:val="000000"/>
                <w:kern w:val="24"/>
                <w:position w:val="6"/>
                <w:vertAlign w:val="superscript"/>
              </w:rPr>
              <w:t>eA</w:t>
            </w:r>
          </w:p>
          <w:p w:rsidR="00F934C1" w:rsidRPr="00441D11" w:rsidRDefault="00F934C1" w:rsidP="00F934C1">
            <w:pPr>
              <w:autoSpaceDE/>
              <w:autoSpaceDN/>
              <w:adjustRightInd/>
              <w:jc w:val="left"/>
            </w:pPr>
            <w:r w:rsidRPr="00441D11">
              <w:rPr>
                <w:color w:val="000000"/>
                <w:kern w:val="24"/>
              </w:rPr>
              <w:t>25.62±0.38</w:t>
            </w:r>
            <w:r w:rsidRPr="00441D11">
              <w:rPr>
                <w:color w:val="000000"/>
                <w:kern w:val="24"/>
                <w:position w:val="6"/>
                <w:vertAlign w:val="superscript"/>
              </w:rPr>
              <w:t>dA</w:t>
            </w:r>
          </w:p>
        </w:tc>
        <w:tc>
          <w:tcPr>
            <w:tcW w:w="1426"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45.2±0.65</w:t>
            </w:r>
            <w:r w:rsidRPr="00441D11">
              <w:rPr>
                <w:color w:val="000000"/>
                <w:kern w:val="24"/>
                <w:position w:val="6"/>
                <w:vertAlign w:val="superscript"/>
              </w:rPr>
              <w:t>fB</w:t>
            </w:r>
          </w:p>
          <w:p w:rsidR="00F934C1" w:rsidRPr="00441D11" w:rsidRDefault="00F934C1" w:rsidP="00F934C1">
            <w:pPr>
              <w:autoSpaceDE/>
              <w:autoSpaceDN/>
              <w:adjustRightInd/>
              <w:jc w:val="left"/>
            </w:pPr>
            <w:r w:rsidRPr="00441D11">
              <w:rPr>
                <w:color w:val="000000"/>
                <w:kern w:val="24"/>
              </w:rPr>
              <w:t>26.56±0.19</w:t>
            </w:r>
            <w:r w:rsidRPr="00441D11">
              <w:rPr>
                <w:color w:val="000000"/>
                <w:kern w:val="24"/>
                <w:position w:val="6"/>
                <w:vertAlign w:val="superscript"/>
              </w:rPr>
              <w:t>eA</w:t>
            </w:r>
          </w:p>
        </w:tc>
        <w:tc>
          <w:tcPr>
            <w:tcW w:w="1426"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45.74±0.16</w:t>
            </w:r>
            <w:r w:rsidRPr="00441D11">
              <w:rPr>
                <w:color w:val="000000"/>
                <w:kern w:val="24"/>
                <w:position w:val="6"/>
                <w:vertAlign w:val="superscript"/>
              </w:rPr>
              <w:t>fB</w:t>
            </w:r>
          </w:p>
          <w:p w:rsidR="00F934C1" w:rsidRPr="00441D11" w:rsidRDefault="00F934C1" w:rsidP="00F934C1">
            <w:pPr>
              <w:autoSpaceDE/>
              <w:autoSpaceDN/>
              <w:adjustRightInd/>
              <w:jc w:val="left"/>
            </w:pPr>
            <w:r w:rsidRPr="00441D11">
              <w:rPr>
                <w:color w:val="000000"/>
                <w:kern w:val="24"/>
              </w:rPr>
              <w:t>26.89±0.10</w:t>
            </w:r>
            <w:r w:rsidRPr="00441D11">
              <w:rPr>
                <w:color w:val="000000"/>
                <w:kern w:val="24"/>
                <w:position w:val="6"/>
                <w:vertAlign w:val="superscript"/>
              </w:rPr>
              <w:t>eA</w:t>
            </w:r>
          </w:p>
        </w:tc>
        <w:tc>
          <w:tcPr>
            <w:tcW w:w="1426"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81.62±0.66</w:t>
            </w:r>
            <w:r w:rsidRPr="00441D11">
              <w:rPr>
                <w:color w:val="000000"/>
                <w:kern w:val="24"/>
                <w:position w:val="6"/>
                <w:vertAlign w:val="superscript"/>
              </w:rPr>
              <w:t>hC</w:t>
            </w:r>
          </w:p>
          <w:p w:rsidR="00F934C1" w:rsidRPr="00441D11" w:rsidRDefault="00F934C1" w:rsidP="00F934C1">
            <w:pPr>
              <w:autoSpaceDE/>
              <w:autoSpaceDN/>
              <w:adjustRightInd/>
              <w:jc w:val="left"/>
            </w:pPr>
            <w:r w:rsidRPr="00441D11">
              <w:rPr>
                <w:color w:val="000000"/>
                <w:kern w:val="24"/>
              </w:rPr>
              <w:t>49.04±0.12</w:t>
            </w:r>
            <w:r w:rsidRPr="00441D11">
              <w:rPr>
                <w:color w:val="000000"/>
                <w:kern w:val="24"/>
                <w:position w:val="6"/>
                <w:vertAlign w:val="superscript"/>
              </w:rPr>
              <w:t>gC</w:t>
            </w:r>
          </w:p>
        </w:tc>
        <w:tc>
          <w:tcPr>
            <w:tcW w:w="1426" w:type="dxa"/>
            <w:tcBorders>
              <w:top w:val="single" w:sz="8" w:space="0" w:color="000000"/>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84.5±1.22</w:t>
            </w:r>
            <w:r w:rsidRPr="00441D11">
              <w:rPr>
                <w:color w:val="000000"/>
                <w:kern w:val="24"/>
                <w:position w:val="6"/>
                <w:vertAlign w:val="superscript"/>
              </w:rPr>
              <w:t>hC</w:t>
            </w:r>
          </w:p>
          <w:p w:rsidR="00F934C1" w:rsidRPr="00441D11" w:rsidRDefault="00F934C1" w:rsidP="00F934C1">
            <w:pPr>
              <w:autoSpaceDE/>
              <w:autoSpaceDN/>
              <w:adjustRightInd/>
              <w:jc w:val="left"/>
            </w:pPr>
            <w:r w:rsidRPr="00441D11">
              <w:rPr>
                <w:color w:val="000000"/>
                <w:kern w:val="24"/>
              </w:rPr>
              <w:t>53.01±0.21</w:t>
            </w:r>
            <w:r>
              <w:rPr>
                <w:color w:val="000000"/>
                <w:kern w:val="24"/>
                <w:position w:val="6"/>
                <w:vertAlign w:val="superscript"/>
              </w:rPr>
              <w:t>gD</w:t>
            </w:r>
          </w:p>
        </w:tc>
      </w:tr>
      <w:tr w:rsidR="00F934C1" w:rsidRPr="00441D11" w:rsidTr="00F934C1">
        <w:trPr>
          <w:gridAfter w:val="1"/>
          <w:wAfter w:w="23" w:type="dxa"/>
          <w:trHeight w:val="465"/>
        </w:trPr>
        <w:tc>
          <w:tcPr>
            <w:tcW w:w="1426"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rPr>
                <w:b/>
              </w:rPr>
            </w:pPr>
            <w:r w:rsidRPr="00441D11">
              <w:rPr>
                <w:b/>
                <w:color w:val="000000"/>
                <w:kern w:val="24"/>
              </w:rPr>
              <w:t xml:space="preserve">Day 15 </w:t>
            </w:r>
          </w:p>
        </w:tc>
        <w:tc>
          <w:tcPr>
            <w:tcW w:w="162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21.32±0.92</w:t>
            </w:r>
            <w:r w:rsidRPr="00441D11">
              <w:rPr>
                <w:color w:val="000000"/>
                <w:kern w:val="24"/>
                <w:position w:val="6"/>
                <w:vertAlign w:val="superscript"/>
              </w:rPr>
              <w:t xml:space="preserve">dA </w:t>
            </w:r>
          </w:p>
        </w:tc>
        <w:tc>
          <w:tcPr>
            <w:tcW w:w="1629"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20.91±0.26</w:t>
            </w:r>
            <w:r w:rsidRPr="00441D11">
              <w:rPr>
                <w:color w:val="000000"/>
                <w:kern w:val="24"/>
                <w:position w:val="6"/>
                <w:vertAlign w:val="superscript"/>
              </w:rPr>
              <w:t xml:space="preserve">cA </w:t>
            </w:r>
          </w:p>
        </w:tc>
        <w:tc>
          <w:tcPr>
            <w:tcW w:w="152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22.36±0.73</w:t>
            </w:r>
            <w:r w:rsidRPr="00441D11">
              <w:rPr>
                <w:color w:val="000000"/>
                <w:kern w:val="24"/>
                <w:position w:val="6"/>
                <w:vertAlign w:val="superscript"/>
              </w:rPr>
              <w:t>cB</w:t>
            </w:r>
          </w:p>
        </w:tc>
        <w:tc>
          <w:tcPr>
            <w:tcW w:w="1448"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20.57±0.65</w:t>
            </w:r>
            <w:r w:rsidRPr="00441D11">
              <w:rPr>
                <w:color w:val="000000"/>
                <w:kern w:val="24"/>
                <w:position w:val="6"/>
                <w:vertAlign w:val="superscript"/>
              </w:rPr>
              <w:t>cA</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21.73±0.23</w:t>
            </w:r>
            <w:r w:rsidRPr="00441D11">
              <w:rPr>
                <w:color w:val="000000"/>
                <w:kern w:val="24"/>
                <w:position w:val="6"/>
                <w:vertAlign w:val="superscript"/>
              </w:rPr>
              <w:t>dA</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22.46±0.18</w:t>
            </w:r>
            <w:r w:rsidRPr="00441D11">
              <w:rPr>
                <w:color w:val="000000"/>
                <w:kern w:val="24"/>
                <w:position w:val="6"/>
                <w:vertAlign w:val="superscript"/>
              </w:rPr>
              <w:t>dB</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30.92±0.27</w:t>
            </w:r>
            <w:r w:rsidRPr="00441D11">
              <w:rPr>
                <w:color w:val="000000"/>
                <w:kern w:val="24"/>
                <w:position w:val="6"/>
                <w:vertAlign w:val="superscript"/>
              </w:rPr>
              <w:t>fC</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35.34±0.92</w:t>
            </w:r>
            <w:r w:rsidRPr="00441D11">
              <w:rPr>
                <w:color w:val="000000"/>
                <w:kern w:val="24"/>
                <w:position w:val="6"/>
                <w:vertAlign w:val="superscript"/>
              </w:rPr>
              <w:t>fD</w:t>
            </w:r>
          </w:p>
        </w:tc>
      </w:tr>
      <w:tr w:rsidR="00F934C1" w:rsidRPr="00441D11" w:rsidTr="00F934C1">
        <w:trPr>
          <w:gridAfter w:val="1"/>
          <w:wAfter w:w="23" w:type="dxa"/>
          <w:trHeight w:val="635"/>
        </w:trPr>
        <w:tc>
          <w:tcPr>
            <w:tcW w:w="1426"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rPr>
                <w:b/>
              </w:rPr>
            </w:pPr>
            <w:r w:rsidRPr="00441D11">
              <w:rPr>
                <w:b/>
                <w:color w:val="000000"/>
                <w:kern w:val="24"/>
              </w:rPr>
              <w:t xml:space="preserve">Day 20 </w:t>
            </w:r>
          </w:p>
        </w:tc>
        <w:tc>
          <w:tcPr>
            <w:tcW w:w="162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20.49±0.19</w:t>
            </w:r>
            <w:r w:rsidRPr="00441D11">
              <w:rPr>
                <w:color w:val="000000"/>
                <w:kern w:val="24"/>
                <w:position w:val="6"/>
                <w:vertAlign w:val="superscript"/>
              </w:rPr>
              <w:t xml:space="preserve">bB </w:t>
            </w:r>
          </w:p>
        </w:tc>
        <w:tc>
          <w:tcPr>
            <w:tcW w:w="1629"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18.13±0.02</w:t>
            </w:r>
            <w:r w:rsidRPr="00441D11">
              <w:rPr>
                <w:color w:val="000000"/>
                <w:kern w:val="24"/>
                <w:position w:val="6"/>
                <w:vertAlign w:val="superscript"/>
              </w:rPr>
              <w:t xml:space="preserve">bA </w:t>
            </w:r>
          </w:p>
        </w:tc>
        <w:tc>
          <w:tcPr>
            <w:tcW w:w="152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20.81±0.56</w:t>
            </w:r>
            <w:r w:rsidRPr="00441D11">
              <w:rPr>
                <w:color w:val="000000"/>
                <w:kern w:val="24"/>
                <w:position w:val="6"/>
                <w:vertAlign w:val="superscript"/>
              </w:rPr>
              <w:t>bB</w:t>
            </w:r>
          </w:p>
        </w:tc>
        <w:tc>
          <w:tcPr>
            <w:tcW w:w="1448"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18.61±0.56</w:t>
            </w:r>
            <w:r w:rsidRPr="00441D11">
              <w:rPr>
                <w:color w:val="000000"/>
                <w:kern w:val="24"/>
                <w:position w:val="6"/>
                <w:vertAlign w:val="superscript"/>
              </w:rPr>
              <w:t>cA</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19.91±0.17</w:t>
            </w:r>
            <w:r w:rsidRPr="00441D11">
              <w:rPr>
                <w:color w:val="000000"/>
                <w:kern w:val="24"/>
                <w:position w:val="6"/>
                <w:vertAlign w:val="superscript"/>
              </w:rPr>
              <w:t>cdA</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19.29±0.13</w:t>
            </w:r>
            <w:r w:rsidRPr="00441D11">
              <w:rPr>
                <w:color w:val="000000"/>
                <w:kern w:val="24"/>
                <w:position w:val="6"/>
                <w:vertAlign w:val="superscript"/>
              </w:rPr>
              <w:t>cdA</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24.11±0.95</w:t>
            </w:r>
            <w:r w:rsidRPr="00441D11">
              <w:rPr>
                <w:color w:val="000000"/>
                <w:kern w:val="24"/>
                <w:position w:val="6"/>
                <w:vertAlign w:val="superscript"/>
              </w:rPr>
              <w:t>eC</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25.21±1.11</w:t>
            </w:r>
            <w:r w:rsidRPr="00441D11">
              <w:rPr>
                <w:color w:val="000000"/>
                <w:kern w:val="24"/>
                <w:position w:val="6"/>
                <w:vertAlign w:val="superscript"/>
              </w:rPr>
              <w:t>eC</w:t>
            </w:r>
          </w:p>
        </w:tc>
      </w:tr>
      <w:tr w:rsidR="00F934C1" w:rsidRPr="00441D11" w:rsidTr="00F934C1">
        <w:trPr>
          <w:gridAfter w:val="1"/>
          <w:wAfter w:w="23" w:type="dxa"/>
          <w:trHeight w:val="754"/>
        </w:trPr>
        <w:tc>
          <w:tcPr>
            <w:tcW w:w="1426"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rPr>
                <w:b/>
              </w:rPr>
            </w:pPr>
            <w:r w:rsidRPr="00441D11">
              <w:rPr>
                <w:b/>
                <w:color w:val="000000"/>
                <w:kern w:val="24"/>
              </w:rPr>
              <w:t xml:space="preserve">Day 25 </w:t>
            </w:r>
          </w:p>
        </w:tc>
        <w:tc>
          <w:tcPr>
            <w:tcW w:w="162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19.31±0.71</w:t>
            </w:r>
            <w:r w:rsidRPr="00441D11">
              <w:rPr>
                <w:color w:val="000000"/>
                <w:kern w:val="24"/>
                <w:position w:val="6"/>
                <w:vertAlign w:val="superscript"/>
              </w:rPr>
              <w:t xml:space="preserve">bD </w:t>
            </w:r>
          </w:p>
        </w:tc>
        <w:tc>
          <w:tcPr>
            <w:tcW w:w="1629"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17.84±0.11</w:t>
            </w:r>
            <w:r w:rsidRPr="00441D11">
              <w:rPr>
                <w:color w:val="000000"/>
                <w:kern w:val="24"/>
                <w:position w:val="6"/>
                <w:vertAlign w:val="superscript"/>
              </w:rPr>
              <w:t xml:space="preserve">bB </w:t>
            </w:r>
          </w:p>
        </w:tc>
        <w:tc>
          <w:tcPr>
            <w:tcW w:w="152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19.36±0.48</w:t>
            </w:r>
            <w:r w:rsidRPr="00441D11">
              <w:rPr>
                <w:color w:val="000000"/>
                <w:kern w:val="24"/>
                <w:position w:val="6"/>
                <w:vertAlign w:val="superscript"/>
              </w:rPr>
              <w:t>bB</w:t>
            </w:r>
          </w:p>
        </w:tc>
        <w:tc>
          <w:tcPr>
            <w:tcW w:w="1448"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17.22±0.11</w:t>
            </w:r>
            <w:r w:rsidRPr="00441D11">
              <w:rPr>
                <w:color w:val="000000"/>
                <w:kern w:val="24"/>
                <w:position w:val="6"/>
                <w:vertAlign w:val="superscript"/>
              </w:rPr>
              <w:t>bB</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18.43±1.05</w:t>
            </w:r>
            <w:r w:rsidRPr="00441D11">
              <w:rPr>
                <w:color w:val="000000"/>
                <w:kern w:val="24"/>
                <w:position w:val="6"/>
                <w:vertAlign w:val="superscript"/>
              </w:rPr>
              <w:t>cC</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18.89±0.13</w:t>
            </w:r>
            <w:r w:rsidRPr="00441D11">
              <w:rPr>
                <w:color w:val="000000"/>
                <w:kern w:val="24"/>
                <w:position w:val="6"/>
                <w:vertAlign w:val="superscript"/>
              </w:rPr>
              <w:t>cC</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15.54±0.51</w:t>
            </w:r>
            <w:r w:rsidRPr="00441D11">
              <w:rPr>
                <w:color w:val="000000"/>
                <w:kern w:val="24"/>
                <w:position w:val="6"/>
                <w:vertAlign w:val="superscript"/>
              </w:rPr>
              <w:t>dA</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16.67±0.19</w:t>
            </w:r>
            <w:r w:rsidRPr="00441D11">
              <w:rPr>
                <w:color w:val="000000"/>
                <w:kern w:val="24"/>
                <w:position w:val="6"/>
                <w:vertAlign w:val="superscript"/>
              </w:rPr>
              <w:t>dA</w:t>
            </w:r>
          </w:p>
        </w:tc>
      </w:tr>
      <w:tr w:rsidR="00F934C1" w:rsidRPr="00441D11" w:rsidTr="00F934C1">
        <w:trPr>
          <w:gridAfter w:val="1"/>
          <w:wAfter w:w="23" w:type="dxa"/>
          <w:trHeight w:val="860"/>
        </w:trPr>
        <w:tc>
          <w:tcPr>
            <w:tcW w:w="1426"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rPr>
                <w:b/>
              </w:rPr>
            </w:pPr>
            <w:r w:rsidRPr="00441D11">
              <w:rPr>
                <w:b/>
                <w:color w:val="000000"/>
                <w:kern w:val="24"/>
              </w:rPr>
              <w:t xml:space="preserve">Day 30 </w:t>
            </w:r>
          </w:p>
        </w:tc>
        <w:tc>
          <w:tcPr>
            <w:tcW w:w="162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18.97±1.13</w:t>
            </w:r>
            <w:r w:rsidRPr="00441D11">
              <w:rPr>
                <w:color w:val="000000"/>
                <w:kern w:val="24"/>
                <w:position w:val="6"/>
                <w:vertAlign w:val="superscript"/>
              </w:rPr>
              <w:t xml:space="preserve">aD </w:t>
            </w:r>
          </w:p>
        </w:tc>
        <w:tc>
          <w:tcPr>
            <w:tcW w:w="1629"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17.47±0.71</w:t>
            </w:r>
            <w:r w:rsidRPr="00441D11">
              <w:rPr>
                <w:color w:val="000000"/>
                <w:kern w:val="24"/>
                <w:position w:val="6"/>
                <w:vertAlign w:val="superscript"/>
              </w:rPr>
              <w:t>bC</w:t>
            </w:r>
          </w:p>
        </w:tc>
        <w:tc>
          <w:tcPr>
            <w:tcW w:w="152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17.73±0.08</w:t>
            </w:r>
            <w:r w:rsidRPr="00441D11">
              <w:rPr>
                <w:color w:val="000000"/>
                <w:kern w:val="24"/>
                <w:position w:val="6"/>
                <w:vertAlign w:val="superscript"/>
              </w:rPr>
              <w:t>aC</w:t>
            </w:r>
          </w:p>
        </w:tc>
        <w:tc>
          <w:tcPr>
            <w:tcW w:w="1448"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16.68±1.66</w:t>
            </w:r>
            <w:r w:rsidRPr="00441D11">
              <w:rPr>
                <w:color w:val="000000"/>
                <w:kern w:val="24"/>
                <w:position w:val="6"/>
                <w:vertAlign w:val="superscript"/>
              </w:rPr>
              <w:t>aB</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17.19±0.17</w:t>
            </w:r>
            <w:r w:rsidRPr="00441D11">
              <w:rPr>
                <w:color w:val="000000"/>
                <w:kern w:val="24"/>
                <w:position w:val="6"/>
                <w:vertAlign w:val="superscript"/>
              </w:rPr>
              <w:t>bC</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17.58±0.13</w:t>
            </w:r>
            <w:r w:rsidRPr="00441D11">
              <w:rPr>
                <w:color w:val="000000"/>
                <w:kern w:val="24"/>
                <w:position w:val="6"/>
                <w:vertAlign w:val="superscript"/>
              </w:rPr>
              <w:t>bC</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8.48±0.73</w:t>
            </w:r>
            <w:r w:rsidRPr="00441D11">
              <w:rPr>
                <w:color w:val="000000"/>
                <w:kern w:val="24"/>
                <w:position w:val="6"/>
                <w:vertAlign w:val="superscript"/>
              </w:rPr>
              <w:t>cA</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9.54±0.48</w:t>
            </w:r>
            <w:r w:rsidRPr="00441D11">
              <w:rPr>
                <w:color w:val="000000"/>
                <w:kern w:val="24"/>
                <w:position w:val="6"/>
                <w:vertAlign w:val="superscript"/>
              </w:rPr>
              <w:t>cA</w:t>
            </w:r>
          </w:p>
        </w:tc>
      </w:tr>
      <w:tr w:rsidR="00F934C1" w:rsidRPr="00441D11" w:rsidTr="00F934C1">
        <w:trPr>
          <w:gridAfter w:val="1"/>
          <w:wAfter w:w="23" w:type="dxa"/>
          <w:trHeight w:val="805"/>
        </w:trPr>
        <w:tc>
          <w:tcPr>
            <w:tcW w:w="1426" w:type="dxa"/>
            <w:tcBorders>
              <w:top w:val="nil"/>
              <w:left w:val="nil"/>
              <w:bottom w:val="nil"/>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rPr>
                <w:b/>
              </w:rPr>
            </w:pPr>
            <w:r w:rsidRPr="00441D11">
              <w:rPr>
                <w:b/>
                <w:color w:val="000000"/>
                <w:kern w:val="24"/>
              </w:rPr>
              <w:t xml:space="preserve">Day 35 </w:t>
            </w:r>
          </w:p>
        </w:tc>
        <w:tc>
          <w:tcPr>
            <w:tcW w:w="1629" w:type="dxa"/>
            <w:tcBorders>
              <w:top w:val="nil"/>
              <w:left w:val="single" w:sz="8" w:space="0" w:color="000000"/>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16.92±0.10</w:t>
            </w:r>
            <w:r w:rsidRPr="00441D11">
              <w:rPr>
                <w:color w:val="000000"/>
                <w:kern w:val="24"/>
                <w:position w:val="6"/>
                <w:vertAlign w:val="superscript"/>
              </w:rPr>
              <w:t xml:space="preserve">aC </w:t>
            </w:r>
          </w:p>
        </w:tc>
        <w:tc>
          <w:tcPr>
            <w:tcW w:w="1629"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16.56±0.32</w:t>
            </w:r>
            <w:r w:rsidRPr="00441D11">
              <w:rPr>
                <w:color w:val="000000"/>
                <w:kern w:val="24"/>
                <w:position w:val="6"/>
                <w:vertAlign w:val="superscript"/>
              </w:rPr>
              <w:t>aC</w:t>
            </w:r>
          </w:p>
        </w:tc>
        <w:tc>
          <w:tcPr>
            <w:tcW w:w="1527"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16.94±0.34</w:t>
            </w:r>
            <w:r w:rsidRPr="00441D11">
              <w:rPr>
                <w:color w:val="000000"/>
                <w:kern w:val="24"/>
                <w:position w:val="6"/>
                <w:vertAlign w:val="superscript"/>
              </w:rPr>
              <w:t>aC</w:t>
            </w:r>
          </w:p>
        </w:tc>
        <w:tc>
          <w:tcPr>
            <w:tcW w:w="1448"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15.96±0.23</w:t>
            </w:r>
            <w:r w:rsidRPr="00441D11">
              <w:rPr>
                <w:color w:val="000000"/>
                <w:kern w:val="24"/>
                <w:position w:val="6"/>
                <w:vertAlign w:val="superscript"/>
              </w:rPr>
              <w:t>aC</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16.56±0.99</w:t>
            </w:r>
            <w:r w:rsidRPr="00441D11">
              <w:rPr>
                <w:color w:val="000000"/>
                <w:kern w:val="24"/>
                <w:position w:val="6"/>
                <w:vertAlign w:val="superscript"/>
              </w:rPr>
              <w:t>aC</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15.06±0.12</w:t>
            </w:r>
            <w:r w:rsidRPr="00441D11">
              <w:rPr>
                <w:color w:val="000000"/>
                <w:kern w:val="24"/>
                <w:position w:val="6"/>
                <w:vertAlign w:val="superscript"/>
              </w:rPr>
              <w:t>aC</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7.24±0.63</w:t>
            </w:r>
            <w:r w:rsidRPr="00441D11">
              <w:rPr>
                <w:color w:val="000000"/>
                <w:kern w:val="24"/>
                <w:position w:val="6"/>
                <w:vertAlign w:val="superscript"/>
              </w:rPr>
              <w:t>bB</w:t>
            </w:r>
          </w:p>
        </w:tc>
        <w:tc>
          <w:tcPr>
            <w:tcW w:w="1426" w:type="dxa"/>
            <w:tcBorders>
              <w:top w:val="nil"/>
              <w:left w:val="nil"/>
              <w:bottom w:val="nil"/>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6.34±0.86</w:t>
            </w:r>
            <w:r w:rsidRPr="00441D11">
              <w:rPr>
                <w:color w:val="000000"/>
                <w:kern w:val="24"/>
                <w:position w:val="6"/>
                <w:vertAlign w:val="superscript"/>
              </w:rPr>
              <w:t>a</w:t>
            </w:r>
            <w:r>
              <w:rPr>
                <w:color w:val="000000"/>
                <w:kern w:val="24"/>
                <w:position w:val="6"/>
                <w:vertAlign w:val="superscript"/>
              </w:rPr>
              <w:t>B</w:t>
            </w:r>
          </w:p>
        </w:tc>
      </w:tr>
      <w:tr w:rsidR="00F934C1" w:rsidRPr="00441D11" w:rsidTr="00F934C1">
        <w:trPr>
          <w:gridAfter w:val="1"/>
          <w:wAfter w:w="23" w:type="dxa"/>
          <w:trHeight w:val="276"/>
        </w:trPr>
        <w:tc>
          <w:tcPr>
            <w:tcW w:w="1426" w:type="dxa"/>
            <w:tcBorders>
              <w:top w:val="nil"/>
              <w:left w:val="nil"/>
              <w:bottom w:val="single" w:sz="8" w:space="0" w:color="000000"/>
              <w:right w:val="single" w:sz="8" w:space="0" w:color="000000"/>
            </w:tcBorders>
            <w:shd w:val="clear" w:color="auto" w:fill="auto"/>
            <w:tcMar>
              <w:top w:w="14" w:type="dxa"/>
              <w:left w:w="63" w:type="dxa"/>
              <w:bottom w:w="0" w:type="dxa"/>
              <w:right w:w="63" w:type="dxa"/>
            </w:tcMar>
            <w:hideMark/>
          </w:tcPr>
          <w:p w:rsidR="00F934C1" w:rsidRPr="00441D11" w:rsidRDefault="00F934C1" w:rsidP="00F934C1">
            <w:pPr>
              <w:autoSpaceDE/>
              <w:autoSpaceDN/>
              <w:adjustRightInd/>
              <w:rPr>
                <w:b/>
              </w:rPr>
            </w:pPr>
            <w:r w:rsidRPr="00441D11">
              <w:rPr>
                <w:b/>
                <w:color w:val="000000"/>
                <w:kern w:val="24"/>
              </w:rPr>
              <w:t xml:space="preserve">Day 40 </w:t>
            </w:r>
          </w:p>
        </w:tc>
        <w:tc>
          <w:tcPr>
            <w:tcW w:w="1629" w:type="dxa"/>
            <w:tcBorders>
              <w:top w:val="nil"/>
              <w:left w:val="single" w:sz="8" w:space="0" w:color="000000"/>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15.78±0.08</w:t>
            </w:r>
            <w:r w:rsidRPr="00441D11">
              <w:rPr>
                <w:color w:val="000000"/>
                <w:kern w:val="24"/>
                <w:position w:val="6"/>
                <w:vertAlign w:val="superscript"/>
              </w:rPr>
              <w:t xml:space="preserve">aC </w:t>
            </w:r>
          </w:p>
        </w:tc>
        <w:tc>
          <w:tcPr>
            <w:tcW w:w="1629"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16.28±1.11</w:t>
            </w:r>
            <w:r w:rsidRPr="00441D11">
              <w:rPr>
                <w:color w:val="000000"/>
                <w:kern w:val="24"/>
                <w:position w:val="6"/>
                <w:vertAlign w:val="superscript"/>
              </w:rPr>
              <w:t>aD</w:t>
            </w:r>
          </w:p>
        </w:tc>
        <w:tc>
          <w:tcPr>
            <w:tcW w:w="1527"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16.71±0.43</w:t>
            </w:r>
            <w:r w:rsidRPr="00441D11">
              <w:rPr>
                <w:color w:val="000000"/>
                <w:kern w:val="24"/>
                <w:position w:val="6"/>
                <w:vertAlign w:val="superscript"/>
              </w:rPr>
              <w:t>aD</w:t>
            </w:r>
          </w:p>
        </w:tc>
        <w:tc>
          <w:tcPr>
            <w:tcW w:w="1448"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15.63±0.44</w:t>
            </w:r>
            <w:r w:rsidRPr="00441D11">
              <w:rPr>
                <w:color w:val="000000"/>
                <w:kern w:val="24"/>
                <w:position w:val="6"/>
                <w:vertAlign w:val="superscript"/>
              </w:rPr>
              <w:t>aC</w:t>
            </w:r>
          </w:p>
        </w:tc>
        <w:tc>
          <w:tcPr>
            <w:tcW w:w="1426"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15.49±1.02</w:t>
            </w:r>
            <w:r w:rsidRPr="00441D11">
              <w:rPr>
                <w:color w:val="000000"/>
                <w:kern w:val="24"/>
                <w:position w:val="6"/>
                <w:vertAlign w:val="superscript"/>
              </w:rPr>
              <w:t>aC</w:t>
            </w:r>
          </w:p>
        </w:tc>
        <w:tc>
          <w:tcPr>
            <w:tcW w:w="1426"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14.81±0.11</w:t>
            </w:r>
            <w:r w:rsidRPr="00441D11">
              <w:rPr>
                <w:color w:val="000000"/>
                <w:kern w:val="24"/>
                <w:position w:val="6"/>
                <w:vertAlign w:val="superscript"/>
              </w:rPr>
              <w:t>aB</w:t>
            </w:r>
          </w:p>
        </w:tc>
        <w:tc>
          <w:tcPr>
            <w:tcW w:w="1426"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6.08±0.13</w:t>
            </w:r>
            <w:r w:rsidRPr="00441D11">
              <w:rPr>
                <w:color w:val="000000"/>
                <w:kern w:val="24"/>
                <w:position w:val="6"/>
                <w:vertAlign w:val="superscript"/>
              </w:rPr>
              <w:t>aA</w:t>
            </w:r>
          </w:p>
        </w:tc>
        <w:tc>
          <w:tcPr>
            <w:tcW w:w="1426" w:type="dxa"/>
            <w:tcBorders>
              <w:top w:val="nil"/>
              <w:left w:val="nil"/>
              <w:bottom w:val="single" w:sz="8" w:space="0" w:color="000000"/>
              <w:right w:val="nil"/>
            </w:tcBorders>
            <w:shd w:val="clear" w:color="auto" w:fill="auto"/>
            <w:tcMar>
              <w:top w:w="14" w:type="dxa"/>
              <w:left w:w="63" w:type="dxa"/>
              <w:bottom w:w="0" w:type="dxa"/>
              <w:right w:w="63" w:type="dxa"/>
            </w:tcMar>
            <w:hideMark/>
          </w:tcPr>
          <w:p w:rsidR="00F934C1" w:rsidRPr="00441D11" w:rsidRDefault="00F934C1" w:rsidP="00F934C1">
            <w:pPr>
              <w:autoSpaceDE/>
              <w:autoSpaceDN/>
              <w:adjustRightInd/>
              <w:jc w:val="left"/>
            </w:pPr>
            <w:r w:rsidRPr="00441D11">
              <w:rPr>
                <w:color w:val="000000"/>
                <w:kern w:val="24"/>
              </w:rPr>
              <w:t>5.88±1.06</w:t>
            </w:r>
            <w:r w:rsidRPr="00441D11">
              <w:rPr>
                <w:color w:val="000000"/>
                <w:kern w:val="24"/>
                <w:position w:val="6"/>
                <w:vertAlign w:val="superscript"/>
              </w:rPr>
              <w:t>a</w:t>
            </w:r>
            <w:r>
              <w:rPr>
                <w:color w:val="000000"/>
                <w:kern w:val="24"/>
                <w:position w:val="6"/>
                <w:vertAlign w:val="superscript"/>
              </w:rPr>
              <w:t>A</w:t>
            </w:r>
          </w:p>
        </w:tc>
      </w:tr>
    </w:tbl>
    <w:p w:rsidR="00F934C1" w:rsidRPr="00441D11" w:rsidRDefault="00F934C1" w:rsidP="00F934C1">
      <w:pPr>
        <w:spacing w:line="240" w:lineRule="auto"/>
        <w:rPr>
          <w:lang w:val="sw-KE" w:eastAsia="sw-KE"/>
        </w:rPr>
      </w:pPr>
      <w:r w:rsidRPr="00441D11">
        <w:rPr>
          <w:lang w:eastAsia="sw-KE"/>
        </w:rPr>
        <w:t>Means ± SD superscripted with similar small letters within the same column and similar capital letters within the same row are not significantly different at p =0.05 (Anova).</w:t>
      </w:r>
    </w:p>
    <w:p w:rsidR="00F934C1" w:rsidRPr="00BB4B6E" w:rsidRDefault="00F934C1" w:rsidP="00F934C1">
      <w:pPr>
        <w:autoSpaceDE/>
        <w:autoSpaceDN/>
        <w:adjustRightInd/>
        <w:spacing w:after="200" w:line="276" w:lineRule="auto"/>
        <w:jc w:val="left"/>
        <w:sectPr w:rsidR="00F934C1" w:rsidRPr="00BB4B6E" w:rsidSect="00F934C1">
          <w:headerReference w:type="first" r:id="rId38"/>
          <w:pgSz w:w="16838" w:h="11906" w:orient="landscape" w:code="9"/>
          <w:pgMar w:top="1728" w:right="1440" w:bottom="1440" w:left="2304" w:header="720" w:footer="720" w:gutter="0"/>
          <w:cols w:space="720"/>
          <w:docGrid w:linePitch="360"/>
        </w:sectPr>
      </w:pPr>
    </w:p>
    <w:p w:rsidR="00F934C1" w:rsidRPr="00BB4B6E" w:rsidRDefault="00F934C1" w:rsidP="00F934C1">
      <w:pPr>
        <w:spacing w:before="100" w:beforeAutospacing="1" w:after="100" w:afterAutospacing="1"/>
      </w:pPr>
      <w:r w:rsidRPr="00BB4B6E">
        <w:lastRenderedPageBreak/>
        <w:t xml:space="preserve">Nutrient release concentrations of commercial fertilizers and nano-fertilizer treatments are presented in </w:t>
      </w:r>
      <w:hyperlink r:id="rId39" w:tgtFrame="_blank" w:history="1">
        <w:r w:rsidRPr="00BB4B6E">
          <w:rPr>
            <w:color w:val="000000" w:themeColor="text1"/>
          </w:rPr>
          <w:t>Table</w:t>
        </w:r>
      </w:hyperlink>
      <w:r w:rsidRPr="00BB4B6E">
        <w:t xml:space="preserve"> 4.21, Table 4.22 and Table 4.23. A typical example is the account that the total nutrient released for bone nHA and synthetic nHA at 40</w:t>
      </w:r>
      <w:r w:rsidRPr="00BB4B6E">
        <w:rPr>
          <w:vertAlign w:val="superscript"/>
        </w:rPr>
        <w:t>th</w:t>
      </w:r>
      <w:r w:rsidRPr="00BB4B6E">
        <w:t xml:space="preserve"> day is 320 and 319 ug/g respectively. The rest of the nutrients in nanofertilizers remain to be released as plants head towards maturity. Bone nanofertilizers and its encapsulated nanofertilizers had significantly (p˂0.05) lower and better controlled nitrate, phosphate and potassium nutrient release rate than synthetic nanofertilizer and its encapsulations. This is attributed to bone nanofertilizers having higher number of adsorption sites for increased contact surface area to volume ratio thereby enhancing controlled and sustainable nutrients release to the crop when needed.</w:t>
      </w:r>
    </w:p>
    <w:p w:rsidR="00F934C1" w:rsidRPr="00BB4B6E" w:rsidRDefault="00F934C1" w:rsidP="00F934C1">
      <w:pPr>
        <w:spacing w:before="100" w:beforeAutospacing="1" w:after="100" w:afterAutospacing="1"/>
      </w:pPr>
      <w:r w:rsidRPr="00BB4B6E">
        <w:t xml:space="preserve">On the other hand nutrient release experiment for the commercial fertilizers displayed significantly rapid nitrate, phosphate and potassium nutrient </w:t>
      </w:r>
      <w:r>
        <w:t xml:space="preserve">release </w:t>
      </w:r>
      <w:r w:rsidRPr="00BB4B6E">
        <w:t>rates and then decreased gradually with time (Fig 4.15). A good scenario is the fact that the total nutrient released for commercial DAP and NPK at 40</w:t>
      </w:r>
      <w:r w:rsidRPr="00BB4B6E">
        <w:rPr>
          <w:vertAlign w:val="superscript"/>
        </w:rPr>
        <w:t>th</w:t>
      </w:r>
      <w:r w:rsidRPr="00BB4B6E">
        <w:t xml:space="preserve"> day is 437 and 443 ug/g. This leads to exhaustion of the nutrients to support higher crop productivity as crops nears maturity (Nilwala </w:t>
      </w:r>
      <w:r w:rsidRPr="00BB4B6E">
        <w:rPr>
          <w:i/>
        </w:rPr>
        <w:t>et al</w:t>
      </w:r>
      <w:r w:rsidRPr="00BB4B6E">
        <w:t xml:space="preserve">., 2011). This can be attributed to lack of adequate adsorption sites in commercial fertilizers for gradual and sustainable release of nitrate, phosphate and potassium nutrients. The comparison between commercial fertilizers and nano-fertilizers shows that the release concentrations of two categories of fertilizer had a significant difference (p˂0.01), which indicated that the nano-fertilizer had more effect of regulating the nitrate release rate. Results concur with those obtained by Cai </w:t>
      </w:r>
      <w:r w:rsidRPr="00BB4B6E">
        <w:rPr>
          <w:i/>
        </w:rPr>
        <w:t>et al</w:t>
      </w:r>
      <w:r w:rsidRPr="00BB4B6E">
        <w:t xml:space="preserve">. (2014). </w:t>
      </w:r>
      <w:r w:rsidRPr="00BB4B6E">
        <w:rPr>
          <w:bCs/>
        </w:rPr>
        <w:t>The trend exhibited in nitrate nutrient release rate is shown by graphical representation below.</w:t>
      </w:r>
    </w:p>
    <w:p w:rsidR="00F934C1" w:rsidRPr="00BB4B6E" w:rsidRDefault="006D47C4" w:rsidP="00F934C1">
      <w:pPr>
        <w:spacing w:line="240" w:lineRule="auto"/>
        <w:rPr>
          <w:b/>
          <w:bCs/>
        </w:rPr>
      </w:pPr>
      <w:r w:rsidRPr="00BB4B6E">
        <w:rPr>
          <w:b/>
          <w:bCs/>
          <w:noProof/>
        </w:rPr>
        <w:lastRenderedPageBreak/>
        <w:drawing>
          <wp:anchor distT="0" distB="0" distL="114300" distR="114300" simplePos="0" relativeHeight="251679232" behindDoc="0" locked="0" layoutInCell="1" allowOverlap="1" wp14:anchorId="34A5B2A1" wp14:editId="53C295A4">
            <wp:simplePos x="0" y="0"/>
            <wp:positionH relativeFrom="column">
              <wp:align>left</wp:align>
            </wp:positionH>
            <wp:positionV relativeFrom="paragraph">
              <wp:align>top</wp:align>
            </wp:positionV>
            <wp:extent cx="4572000" cy="2724150"/>
            <wp:effectExtent l="19050" t="0" r="19050" b="0"/>
            <wp:wrapSquare wrapText="bothSides"/>
            <wp:docPr id="9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r w:rsidR="00F934C1" w:rsidRPr="00BB4B6E">
        <w:rPr>
          <w:b/>
          <w:bCs/>
        </w:rPr>
        <w:br w:type="textWrapping" w:clear="all"/>
      </w:r>
    </w:p>
    <w:p w:rsidR="00F934C1" w:rsidRPr="00BB4B6E" w:rsidRDefault="00F934C1" w:rsidP="00F934C1">
      <w:pPr>
        <w:pStyle w:val="Heading5"/>
      </w:pPr>
      <w:bookmarkStart w:id="288" w:name="_Toc120047564"/>
      <w:bookmarkStart w:id="289" w:name="_Toc144222367"/>
      <w:r>
        <w:t>Figure</w:t>
      </w:r>
      <w:r w:rsidRPr="00BB4B6E">
        <w:t xml:space="preserve"> 4.</w:t>
      </w:r>
      <w:r w:rsidR="00C226E6" w:rsidRPr="00BB4B6E">
        <w:fldChar w:fldCharType="begin"/>
      </w:r>
      <w:r w:rsidRPr="00BB4B6E">
        <w:instrText xml:space="preserve"> SEQ Fig._4. \* ARABIC </w:instrText>
      </w:r>
      <w:r w:rsidR="00C226E6" w:rsidRPr="00BB4B6E">
        <w:fldChar w:fldCharType="separate"/>
      </w:r>
      <w:r w:rsidR="00301A90">
        <w:rPr>
          <w:noProof/>
        </w:rPr>
        <w:t>11</w:t>
      </w:r>
      <w:r w:rsidR="00C226E6" w:rsidRPr="00BB4B6E">
        <w:fldChar w:fldCharType="end"/>
      </w:r>
      <w:r w:rsidRPr="00BB4B6E">
        <w:t>: Graph on NO</w:t>
      </w:r>
      <w:r w:rsidRPr="00BB4B6E">
        <w:rPr>
          <w:vertAlign w:val="subscript"/>
        </w:rPr>
        <w:t>3</w:t>
      </w:r>
      <w:r w:rsidRPr="00BB4B6E">
        <w:rPr>
          <w:vertAlign w:val="superscript"/>
        </w:rPr>
        <w:t>-</w:t>
      </w:r>
      <w:r w:rsidRPr="00BB4B6E">
        <w:t xml:space="preserve"> released by Bone nHA nanofertilizers within 40 days</w:t>
      </w:r>
      <w:bookmarkEnd w:id="288"/>
      <w:bookmarkEnd w:id="289"/>
    </w:p>
    <w:p w:rsidR="00F934C1" w:rsidRPr="00BB4B6E" w:rsidRDefault="00F934C1" w:rsidP="00F934C1">
      <w:pPr>
        <w:spacing w:line="240" w:lineRule="auto"/>
        <w:rPr>
          <w:b/>
          <w:bCs/>
        </w:rPr>
      </w:pPr>
    </w:p>
    <w:p w:rsidR="00F934C1" w:rsidRPr="00BB4B6E" w:rsidRDefault="0036558A" w:rsidP="00F934C1">
      <w:pPr>
        <w:spacing w:line="240" w:lineRule="auto"/>
        <w:rPr>
          <w:b/>
          <w:bCs/>
        </w:rPr>
      </w:pPr>
      <w:r>
        <w:rPr>
          <w:b/>
          <w:bCs/>
        </w:rPr>
        <w:pict>
          <v:rect id="_x0000_i1025" style="width:0;height:1.5pt" o:hralign="center" o:hrstd="t" o:hr="t" fillcolor="#a0a0a0" stroked="f"/>
        </w:pict>
      </w:r>
    </w:p>
    <w:p w:rsidR="00F934C1" w:rsidRPr="00BB4B6E" w:rsidRDefault="00F934C1" w:rsidP="00F934C1">
      <w:pPr>
        <w:spacing w:line="240" w:lineRule="auto"/>
        <w:rPr>
          <w:b/>
          <w:bCs/>
        </w:rPr>
      </w:pPr>
      <w:r w:rsidRPr="00BB4B6E">
        <w:rPr>
          <w:b/>
          <w:bCs/>
          <w:noProof/>
        </w:rPr>
        <w:drawing>
          <wp:inline distT="0" distB="0" distL="0" distR="0" wp14:anchorId="6AF39588" wp14:editId="1DBC8442">
            <wp:extent cx="4524375" cy="2581275"/>
            <wp:effectExtent l="0" t="0" r="0" b="0"/>
            <wp:docPr id="9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934C1" w:rsidRPr="00BB4B6E" w:rsidRDefault="00F934C1" w:rsidP="00F934C1">
      <w:pPr>
        <w:pStyle w:val="Heading5"/>
      </w:pPr>
      <w:bookmarkStart w:id="290" w:name="_Toc120047565"/>
      <w:bookmarkStart w:id="291" w:name="_Toc144222368"/>
      <w:r>
        <w:t xml:space="preserve">Figure </w:t>
      </w:r>
      <w:r w:rsidRPr="00BB4B6E">
        <w:t>4.</w:t>
      </w:r>
      <w:r w:rsidR="00C226E6" w:rsidRPr="00BB4B6E">
        <w:fldChar w:fldCharType="begin"/>
      </w:r>
      <w:r w:rsidRPr="00BB4B6E">
        <w:instrText xml:space="preserve"> SEQ Fig._4. \* ARABIC </w:instrText>
      </w:r>
      <w:r w:rsidR="00C226E6" w:rsidRPr="00BB4B6E">
        <w:fldChar w:fldCharType="separate"/>
      </w:r>
      <w:r w:rsidR="00301A90">
        <w:rPr>
          <w:noProof/>
        </w:rPr>
        <w:t>12</w:t>
      </w:r>
      <w:r w:rsidR="00C226E6" w:rsidRPr="00BB4B6E">
        <w:fldChar w:fldCharType="end"/>
      </w:r>
      <w:r w:rsidRPr="00BB4B6E">
        <w:t>: Graph on NO</w:t>
      </w:r>
      <w:r w:rsidRPr="00BB4B6E">
        <w:rPr>
          <w:vertAlign w:val="subscript"/>
        </w:rPr>
        <w:t>3</w:t>
      </w:r>
      <w:r w:rsidRPr="00BB4B6E">
        <w:rPr>
          <w:vertAlign w:val="superscript"/>
        </w:rPr>
        <w:t>--</w:t>
      </w:r>
      <w:r w:rsidRPr="00BB4B6E">
        <w:t xml:space="preserve"> release by synthetic nHA nanofertilizers within 40 days</w:t>
      </w:r>
      <w:bookmarkEnd w:id="290"/>
      <w:bookmarkEnd w:id="291"/>
    </w:p>
    <w:p w:rsidR="00F934C1" w:rsidRPr="00BB4B6E" w:rsidRDefault="00F934C1" w:rsidP="00F934C1">
      <w:pPr>
        <w:rPr>
          <w:noProof/>
        </w:rPr>
      </w:pPr>
    </w:p>
    <w:p w:rsidR="00F934C1" w:rsidRPr="00BB4B6E" w:rsidRDefault="00F934C1" w:rsidP="00F934C1">
      <w:pPr>
        <w:spacing w:line="240" w:lineRule="auto"/>
        <w:rPr>
          <w:b/>
          <w:bCs/>
        </w:rPr>
      </w:pPr>
      <w:r w:rsidRPr="00BB4B6E">
        <w:rPr>
          <w:b/>
          <w:bCs/>
          <w:noProof/>
        </w:rPr>
        <w:lastRenderedPageBreak/>
        <w:drawing>
          <wp:inline distT="0" distB="0" distL="0" distR="0" wp14:anchorId="642AA992" wp14:editId="53B83ED3">
            <wp:extent cx="4572000" cy="2743200"/>
            <wp:effectExtent l="19050" t="0" r="19050" b="0"/>
            <wp:docPr id="9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934C1" w:rsidRPr="00BB4B6E" w:rsidRDefault="00F934C1" w:rsidP="00F934C1">
      <w:pPr>
        <w:pStyle w:val="Heading5"/>
      </w:pPr>
      <w:bookmarkStart w:id="292" w:name="_Toc120047566"/>
      <w:bookmarkStart w:id="293" w:name="_Toc144222369"/>
      <w:r>
        <w:t>Figure</w:t>
      </w:r>
      <w:r w:rsidRPr="00BB4B6E">
        <w:t xml:space="preserve"> 4.</w:t>
      </w:r>
      <w:r w:rsidR="00C226E6" w:rsidRPr="00BB4B6E">
        <w:fldChar w:fldCharType="begin"/>
      </w:r>
      <w:r w:rsidRPr="00BB4B6E">
        <w:instrText xml:space="preserve"> SEQ Fig._4. \* ARABIC </w:instrText>
      </w:r>
      <w:r w:rsidR="00C226E6" w:rsidRPr="00BB4B6E">
        <w:fldChar w:fldCharType="separate"/>
      </w:r>
      <w:r w:rsidR="00301A90">
        <w:rPr>
          <w:noProof/>
        </w:rPr>
        <w:t>13</w:t>
      </w:r>
      <w:r w:rsidR="00C226E6" w:rsidRPr="00BB4B6E">
        <w:fldChar w:fldCharType="end"/>
      </w:r>
      <w:r w:rsidRPr="00BB4B6E">
        <w:t>: Graph on NO</w:t>
      </w:r>
      <w:r w:rsidRPr="00BB4B6E">
        <w:rPr>
          <w:vertAlign w:val="subscript"/>
        </w:rPr>
        <w:t>3</w:t>
      </w:r>
      <w:r w:rsidRPr="00BB4B6E">
        <w:rPr>
          <w:vertAlign w:val="superscript"/>
        </w:rPr>
        <w:t>-</w:t>
      </w:r>
      <w:r w:rsidRPr="00BB4B6E">
        <w:t xml:space="preserve"> release by commercial fertilizers within 40 days</w:t>
      </w:r>
      <w:bookmarkEnd w:id="292"/>
      <w:bookmarkEnd w:id="293"/>
    </w:p>
    <w:p w:rsidR="00F934C1" w:rsidRPr="00BB4B6E" w:rsidRDefault="00F934C1" w:rsidP="006D47C4">
      <w:pPr>
        <w:spacing w:line="240" w:lineRule="auto"/>
      </w:pPr>
    </w:p>
    <w:p w:rsidR="00F934C1" w:rsidRPr="00BB4B6E" w:rsidRDefault="00F934C1" w:rsidP="00F934C1">
      <w:r w:rsidRPr="00BB4B6E">
        <w:t xml:space="preserve">This indicates that the bone nano-fertilizers have a higher impact in regulating and having a more controlled gradual release of nitrate nutrients since they have a higher number of adsorption sites in comparison with synthetic nanofertilizers (Nilwala </w:t>
      </w:r>
      <w:r w:rsidRPr="00BB4B6E">
        <w:rPr>
          <w:i/>
        </w:rPr>
        <w:t>et al</w:t>
      </w:r>
      <w:r w:rsidRPr="00BB4B6E">
        <w:t>., 2011). However the phosphate release rates of the treatments are relatively lower than nitrate release rates (Table 4.22). This is attributed to poor mobility of P adsorbed by experimental soil. There was gradual decrease in phosphate release rate in nano-fertilizer with increasing length of elution time.</w:t>
      </w:r>
    </w:p>
    <w:p w:rsidR="00F934C1" w:rsidRPr="00BB4B6E" w:rsidRDefault="00F934C1" w:rsidP="00F934C1"/>
    <w:p w:rsidR="00F934C1" w:rsidRPr="00BB4B6E" w:rsidRDefault="00F934C1" w:rsidP="00F934C1">
      <w:pPr>
        <w:autoSpaceDE/>
        <w:autoSpaceDN/>
        <w:adjustRightInd/>
      </w:pPr>
      <w:r w:rsidRPr="00BB4B6E">
        <w:t>For the potassium, the nano-fertilizer had more controlled release on K</w:t>
      </w:r>
      <w:r w:rsidRPr="00BB4B6E">
        <w:rPr>
          <w:vertAlign w:val="superscript"/>
        </w:rPr>
        <w:t>+</w:t>
      </w:r>
      <w:r w:rsidRPr="00BB4B6E">
        <w:t>. Generally, the release concentrations of K</w:t>
      </w:r>
      <w:r w:rsidRPr="00BB4B6E">
        <w:rPr>
          <w:vertAlign w:val="superscript"/>
        </w:rPr>
        <w:t>+</w:t>
      </w:r>
      <w:r w:rsidRPr="00BB4B6E">
        <w:t xml:space="preserve"> were much slower than that of nitrates in each sampling and faster than that of phosphates. Forces that trigger release rate mechanisms are like van der waals forces and hydrogen bonding. The difference in nutrient release rate variation can also be attributed to several factors such as nature of nutrient, adsorption, and fixation power of adsorbent to various nutrient ions (Liu &amp; Lal, 2014).</w:t>
      </w:r>
      <w:r w:rsidRPr="00BB4B6E">
        <w:br w:type="page"/>
      </w:r>
      <w:bookmarkStart w:id="294" w:name="_Toc62228779"/>
    </w:p>
    <w:p w:rsidR="00F934C1" w:rsidRPr="00C323D5" w:rsidRDefault="00F934C1" w:rsidP="00F934C1">
      <w:pPr>
        <w:pStyle w:val="Heading1"/>
      </w:pPr>
      <w:bookmarkStart w:id="295" w:name="_Toc144820076"/>
      <w:r w:rsidRPr="00C323D5">
        <w:lastRenderedPageBreak/>
        <w:t>CHAPTER FIVE</w:t>
      </w:r>
      <w:bookmarkEnd w:id="294"/>
      <w:bookmarkEnd w:id="295"/>
    </w:p>
    <w:p w:rsidR="00F934C1" w:rsidRPr="00C323D5" w:rsidRDefault="00F934C1" w:rsidP="00F934C1">
      <w:pPr>
        <w:pStyle w:val="Heading1"/>
      </w:pPr>
      <w:bookmarkStart w:id="296" w:name="_Toc62228780"/>
      <w:bookmarkStart w:id="297" w:name="_Toc144820077"/>
      <w:r w:rsidRPr="00C323D5">
        <w:t>CONCLUSIONS AND RECOMMENDATIONS</w:t>
      </w:r>
      <w:bookmarkEnd w:id="296"/>
      <w:bookmarkEnd w:id="297"/>
    </w:p>
    <w:p w:rsidR="00F934C1" w:rsidRPr="00BB4B6E" w:rsidRDefault="00F934C1" w:rsidP="00F934C1">
      <w:pPr>
        <w:pStyle w:val="Heading2"/>
        <w:spacing w:before="0"/>
        <w:rPr>
          <w:rFonts w:cs="Times New Roman"/>
          <w:color w:val="auto"/>
          <w:szCs w:val="24"/>
        </w:rPr>
      </w:pPr>
      <w:bookmarkStart w:id="298" w:name="_Toc61727580"/>
      <w:bookmarkStart w:id="299" w:name="_Toc144820078"/>
      <w:r w:rsidRPr="00BB4B6E">
        <w:rPr>
          <w:rFonts w:cs="Times New Roman"/>
          <w:color w:val="auto"/>
          <w:szCs w:val="24"/>
        </w:rPr>
        <w:t>5.1 Conclusions</w:t>
      </w:r>
      <w:bookmarkEnd w:id="298"/>
      <w:bookmarkEnd w:id="299"/>
    </w:p>
    <w:p w:rsidR="00F934C1" w:rsidRPr="00600D3F" w:rsidRDefault="00F934C1" w:rsidP="00F934C1">
      <w:pPr>
        <w:widowControl w:val="0"/>
        <w:ind w:left="480" w:hanging="480"/>
      </w:pPr>
      <w:r w:rsidRPr="00BB4B6E">
        <w:t>Based on the results obtained in this study, following key conclusions can be made.</w:t>
      </w:r>
      <w:bookmarkStart w:id="300" w:name="_Toc51833230"/>
    </w:p>
    <w:p w:rsidR="00F934C1" w:rsidRDefault="00F934C1" w:rsidP="00F934C1">
      <w:pPr>
        <w:pStyle w:val="NormalWeb"/>
        <w:numPr>
          <w:ilvl w:val="0"/>
          <w:numId w:val="27"/>
        </w:numPr>
        <w:spacing w:before="0" w:beforeAutospacing="0" w:after="0" w:afterAutospacing="0" w:line="480" w:lineRule="auto"/>
        <w:rPr>
          <w:color w:val="0E101A"/>
        </w:rPr>
      </w:pPr>
      <w:r w:rsidRPr="00BB4B6E">
        <w:rPr>
          <w:color w:val="0E101A"/>
        </w:rPr>
        <w:t>Bone nHA nano-fertilizers and its encapsulations had sm</w:t>
      </w:r>
      <w:r w:rsidR="00440B0B">
        <w:rPr>
          <w:color w:val="0E101A"/>
        </w:rPr>
        <w:t>aller crystallite size</w:t>
      </w:r>
      <w:r w:rsidRPr="00BB4B6E">
        <w:rPr>
          <w:color w:val="0E101A"/>
        </w:rPr>
        <w:t xml:space="preserve"> than synt</w:t>
      </w:r>
      <w:r>
        <w:rPr>
          <w:color w:val="0E101A"/>
        </w:rPr>
        <w:t>hetic nanofertilizers</w:t>
      </w:r>
      <w:r w:rsidRPr="00BB4B6E">
        <w:rPr>
          <w:color w:val="0E101A"/>
        </w:rPr>
        <w:t>.</w:t>
      </w:r>
    </w:p>
    <w:p w:rsidR="00F934C1" w:rsidRPr="00843594" w:rsidRDefault="00F934C1" w:rsidP="00F934C1">
      <w:pPr>
        <w:pStyle w:val="NormalWeb"/>
        <w:numPr>
          <w:ilvl w:val="0"/>
          <w:numId w:val="27"/>
        </w:numPr>
        <w:spacing w:before="0" w:beforeAutospacing="0" w:after="0" w:afterAutospacing="0" w:line="480" w:lineRule="auto"/>
        <w:rPr>
          <w:color w:val="0E101A"/>
        </w:rPr>
      </w:pPr>
      <w:r w:rsidRPr="00843594">
        <w:rPr>
          <w:color w:val="0E101A"/>
        </w:rPr>
        <w:t xml:space="preserve">Bone nHA nano-fertilizers and its encapsulations had higher reduction of Cd and Pb in beans, spinach and kale leaves grown than synthetic nHA encapsulations over the 90 days. </w:t>
      </w:r>
    </w:p>
    <w:p w:rsidR="00F934C1" w:rsidRPr="00BB4B6E" w:rsidRDefault="00F934C1" w:rsidP="00F934C1">
      <w:pPr>
        <w:pStyle w:val="NormalWeb"/>
        <w:numPr>
          <w:ilvl w:val="0"/>
          <w:numId w:val="27"/>
        </w:numPr>
        <w:spacing w:before="0" w:beforeAutospacing="0" w:after="0" w:afterAutospacing="0" w:line="480" w:lineRule="auto"/>
        <w:rPr>
          <w:color w:val="0E101A"/>
        </w:rPr>
      </w:pPr>
      <w:r>
        <w:rPr>
          <w:color w:val="0E101A"/>
        </w:rPr>
        <w:t>Bone nHA</w:t>
      </w:r>
      <w:r w:rsidRPr="00BB4B6E">
        <w:rPr>
          <w:color w:val="0E101A"/>
        </w:rPr>
        <w:t xml:space="preserve"> nano-fertilizers </w:t>
      </w:r>
      <w:r>
        <w:rPr>
          <w:color w:val="0E101A"/>
        </w:rPr>
        <w:t xml:space="preserve">had more </w:t>
      </w:r>
      <w:r w:rsidRPr="00BB4B6E">
        <w:rPr>
          <w:color w:val="0E101A"/>
        </w:rPr>
        <w:t>increased growth performance parameter</w:t>
      </w:r>
      <w:r>
        <w:rPr>
          <w:color w:val="0E101A"/>
        </w:rPr>
        <w:t xml:space="preserve"> than syn nHA;</w:t>
      </w:r>
      <w:r w:rsidRPr="00BB4B6E">
        <w:rPr>
          <w:color w:val="0E101A"/>
        </w:rPr>
        <w:t xml:space="preserve"> plant height, leaf diameter, plant number of leaves, stem diameter and bean number of pods</w:t>
      </w:r>
      <w:r w:rsidR="00440B0B">
        <w:rPr>
          <w:color w:val="0E101A"/>
        </w:rPr>
        <w:t xml:space="preserve"> in greenhouse grown kale</w:t>
      </w:r>
      <w:r w:rsidRPr="00BB4B6E">
        <w:rPr>
          <w:color w:val="0E101A"/>
        </w:rPr>
        <w:t>, spinach, and beans. However bone nHA nanofertilizers and its encapsulations had the highest improvement in growth perfor</w:t>
      </w:r>
      <w:r>
        <w:rPr>
          <w:color w:val="0E101A"/>
        </w:rPr>
        <w:t>mance of the plants grown</w:t>
      </w:r>
      <w:r w:rsidRPr="00BB4B6E">
        <w:rPr>
          <w:color w:val="0E101A"/>
        </w:rPr>
        <w:t xml:space="preserve"> within 90 days.</w:t>
      </w:r>
    </w:p>
    <w:p w:rsidR="00F934C1" w:rsidRPr="00BB4B6E" w:rsidRDefault="00F934C1" w:rsidP="00F934C1">
      <w:pPr>
        <w:pStyle w:val="NormalWeb"/>
        <w:numPr>
          <w:ilvl w:val="0"/>
          <w:numId w:val="27"/>
        </w:numPr>
        <w:spacing w:before="0" w:beforeAutospacing="0" w:after="0" w:afterAutospacing="0" w:line="480" w:lineRule="auto"/>
        <w:rPr>
          <w:color w:val="0E101A"/>
        </w:rPr>
      </w:pPr>
      <w:r>
        <w:rPr>
          <w:color w:val="0E101A"/>
        </w:rPr>
        <w:t>B</w:t>
      </w:r>
      <w:r w:rsidRPr="00BB4B6E">
        <w:rPr>
          <w:color w:val="0E101A"/>
        </w:rPr>
        <w:t>one nHA nano-fertilizers had higher adsorption capacity than synthetic nHA. Cd adsorption fitted well in Langmuir while Pb adsorption fitted better with Freundlich isotherms. The Cd fitted well with pseudo 1</w:t>
      </w:r>
      <w:r w:rsidRPr="00BB4B6E">
        <w:rPr>
          <w:color w:val="0E101A"/>
          <w:vertAlign w:val="superscript"/>
        </w:rPr>
        <w:t>st</w:t>
      </w:r>
      <w:r w:rsidRPr="00BB4B6E">
        <w:rPr>
          <w:color w:val="0E101A"/>
        </w:rPr>
        <w:t xml:space="preserve"> order while Pb fitted well in second-order kinetics</w:t>
      </w:r>
      <w:r>
        <w:rPr>
          <w:color w:val="0E101A"/>
        </w:rPr>
        <w:t xml:space="preserve"> model</w:t>
      </w:r>
      <w:r w:rsidRPr="00BB4B6E">
        <w:rPr>
          <w:color w:val="0E101A"/>
        </w:rPr>
        <w:t>.</w:t>
      </w:r>
    </w:p>
    <w:p w:rsidR="00F934C1" w:rsidRPr="00BB4B6E" w:rsidRDefault="00F934C1" w:rsidP="00F934C1">
      <w:pPr>
        <w:pStyle w:val="ListParagraph"/>
        <w:numPr>
          <w:ilvl w:val="0"/>
          <w:numId w:val="27"/>
        </w:numPr>
      </w:pPr>
      <w:r w:rsidRPr="00BB4B6E">
        <w:rPr>
          <w:color w:val="0E101A"/>
        </w:rPr>
        <w:t>Bone nHA nano-fertilizers and its encapsulations had a</w:t>
      </w:r>
      <w:r>
        <w:rPr>
          <w:color w:val="0E101A"/>
        </w:rPr>
        <w:t xml:space="preserve"> slower</w:t>
      </w:r>
      <w:r w:rsidRPr="00BB4B6E">
        <w:rPr>
          <w:color w:val="0E101A"/>
        </w:rPr>
        <w:t xml:space="preserve"> controlled nutrient release rate of NO</w:t>
      </w:r>
      <w:r w:rsidRPr="00BB4B6E">
        <w:rPr>
          <w:color w:val="0E101A"/>
          <w:vertAlign w:val="subscript"/>
        </w:rPr>
        <w:t>3</w:t>
      </w:r>
      <w:r w:rsidRPr="00BB4B6E">
        <w:rPr>
          <w:color w:val="0E101A"/>
          <w:vertAlign w:val="superscript"/>
        </w:rPr>
        <w:t>-</w:t>
      </w:r>
      <w:r w:rsidRPr="00BB4B6E">
        <w:rPr>
          <w:color w:val="0E101A"/>
        </w:rPr>
        <w:t>, PO</w:t>
      </w:r>
      <w:r w:rsidRPr="00BB4B6E">
        <w:rPr>
          <w:color w:val="0E101A"/>
          <w:vertAlign w:val="subscript"/>
        </w:rPr>
        <w:t>4</w:t>
      </w:r>
      <w:r w:rsidRPr="00BB4B6E">
        <w:rPr>
          <w:color w:val="0E101A"/>
          <w:vertAlign w:val="superscript"/>
        </w:rPr>
        <w:t>3-</w:t>
      </w:r>
      <w:r w:rsidRPr="00BB4B6E">
        <w:rPr>
          <w:color w:val="0E101A"/>
        </w:rPr>
        <w:t xml:space="preserve"> and K</w:t>
      </w:r>
      <w:r w:rsidRPr="00BB4B6E">
        <w:rPr>
          <w:color w:val="0E101A"/>
          <w:vertAlign w:val="superscript"/>
        </w:rPr>
        <w:t>+</w:t>
      </w:r>
      <w:r w:rsidRPr="00BB4B6E">
        <w:rPr>
          <w:color w:val="0E101A"/>
        </w:rPr>
        <w:t xml:space="preserve"> nutrients than synthetic nHA nano-fertilizers.</w:t>
      </w:r>
    </w:p>
    <w:p w:rsidR="00F934C1" w:rsidRPr="00600D3F" w:rsidRDefault="00F934C1" w:rsidP="00F934C1">
      <w:pPr>
        <w:pStyle w:val="NormalWeb"/>
        <w:numPr>
          <w:ilvl w:val="0"/>
          <w:numId w:val="27"/>
        </w:numPr>
        <w:spacing w:before="0" w:beforeAutospacing="0" w:after="0" w:afterAutospacing="0" w:line="480" w:lineRule="auto"/>
        <w:rPr>
          <w:color w:val="0E101A"/>
        </w:rPr>
      </w:pPr>
      <w:r w:rsidRPr="00BB4B6E">
        <w:rPr>
          <w:color w:val="0E101A"/>
        </w:rPr>
        <w:t xml:space="preserve">Bone nHA is the best treatment in reducing Cd and Pb uptake, regulating nutrient release rate and in improving growth performance parameters. </w:t>
      </w:r>
      <w:r w:rsidRPr="00BB4B6E">
        <w:rPr>
          <w:color w:val="0E101A"/>
        </w:rPr>
        <w:lastRenderedPageBreak/>
        <w:t>Hence it can be used alone in the growing of kales, spinach and beans in Cd/Pb polluted soils.</w:t>
      </w:r>
    </w:p>
    <w:p w:rsidR="00F934C1" w:rsidRPr="00BB4B6E" w:rsidRDefault="00F934C1" w:rsidP="00F934C1">
      <w:pPr>
        <w:pStyle w:val="Heading3"/>
        <w:rPr>
          <w:rFonts w:eastAsia="Times New Roman"/>
        </w:rPr>
      </w:pPr>
      <w:bookmarkStart w:id="301" w:name="_Toc144820079"/>
      <w:r w:rsidRPr="00BB4B6E">
        <w:rPr>
          <w:rFonts w:eastAsia="Times New Roman"/>
        </w:rPr>
        <w:t xml:space="preserve">5.2.1 </w:t>
      </w:r>
      <w:r w:rsidRPr="00441D11">
        <w:t>Recommendations</w:t>
      </w:r>
      <w:r w:rsidRPr="00BB4B6E">
        <w:rPr>
          <w:rFonts w:eastAsia="Times New Roman"/>
        </w:rPr>
        <w:t xml:space="preserve"> from the Study</w:t>
      </w:r>
      <w:bookmarkEnd w:id="300"/>
      <w:bookmarkEnd w:id="301"/>
    </w:p>
    <w:p w:rsidR="00F934C1" w:rsidRPr="00BB4B6E" w:rsidRDefault="00F934C1" w:rsidP="00F934C1">
      <w:pPr>
        <w:pStyle w:val="ListParagraph"/>
        <w:numPr>
          <w:ilvl w:val="0"/>
          <w:numId w:val="27"/>
        </w:numPr>
      </w:pPr>
      <w:r w:rsidRPr="00BB4B6E">
        <w:t xml:space="preserve">Bone nano-fertilizer can be possibly be used in growing of kales, spinach and beans in Cd/Pb medially polluted soils, </w:t>
      </w:r>
      <w:r>
        <w:rPr>
          <w:color w:val="000000"/>
        </w:rPr>
        <w:t>as well as it be used f</w:t>
      </w:r>
      <w:r w:rsidRPr="00BB4B6E">
        <w:rPr>
          <w:color w:val="000000"/>
        </w:rPr>
        <w:t>o</w:t>
      </w:r>
      <w:r>
        <w:rPr>
          <w:color w:val="000000"/>
        </w:rPr>
        <w:t>r</w:t>
      </w:r>
      <w:r w:rsidRPr="00BB4B6E">
        <w:rPr>
          <w:color w:val="000000"/>
        </w:rPr>
        <w:t xml:space="preserve"> the gradual release of </w:t>
      </w:r>
      <w:r w:rsidRPr="00BB4B6E">
        <w:rPr>
          <w:color w:val="0E101A"/>
        </w:rPr>
        <w:t>NO</w:t>
      </w:r>
      <w:r w:rsidRPr="00BB4B6E">
        <w:rPr>
          <w:color w:val="0E101A"/>
          <w:vertAlign w:val="subscript"/>
        </w:rPr>
        <w:t>3</w:t>
      </w:r>
      <w:r w:rsidRPr="00BB4B6E">
        <w:rPr>
          <w:color w:val="0E101A"/>
          <w:vertAlign w:val="superscript"/>
        </w:rPr>
        <w:t>-</w:t>
      </w:r>
      <w:r w:rsidRPr="00BB4B6E">
        <w:rPr>
          <w:color w:val="0E101A"/>
        </w:rPr>
        <w:t>, PO</w:t>
      </w:r>
      <w:r w:rsidRPr="00BB4B6E">
        <w:rPr>
          <w:color w:val="0E101A"/>
          <w:vertAlign w:val="subscript"/>
        </w:rPr>
        <w:t>4</w:t>
      </w:r>
      <w:r w:rsidRPr="00BB4B6E">
        <w:rPr>
          <w:color w:val="0E101A"/>
          <w:vertAlign w:val="superscript"/>
        </w:rPr>
        <w:t>3-</w:t>
      </w:r>
      <w:r w:rsidRPr="00BB4B6E">
        <w:rPr>
          <w:color w:val="0E101A"/>
        </w:rPr>
        <w:t xml:space="preserve"> and K</w:t>
      </w:r>
      <w:r w:rsidRPr="00BB4B6E">
        <w:rPr>
          <w:color w:val="0E101A"/>
          <w:vertAlign w:val="superscript"/>
        </w:rPr>
        <w:t xml:space="preserve">+ </w:t>
      </w:r>
      <w:r w:rsidRPr="00BB4B6E">
        <w:rPr>
          <w:color w:val="000000"/>
        </w:rPr>
        <w:t>nutrients.</w:t>
      </w:r>
    </w:p>
    <w:p w:rsidR="00F934C1" w:rsidRDefault="00F934C1" w:rsidP="00F934C1">
      <w:pPr>
        <w:numPr>
          <w:ilvl w:val="0"/>
          <w:numId w:val="27"/>
        </w:numPr>
        <w:autoSpaceDE/>
        <w:autoSpaceDN/>
        <w:adjustRightInd/>
        <w:contextualSpacing/>
        <w:rPr>
          <w:color w:val="000000"/>
        </w:rPr>
      </w:pPr>
      <w:r w:rsidRPr="00BB4B6E">
        <w:rPr>
          <w:color w:val="000000"/>
        </w:rPr>
        <w:t xml:space="preserve">Promote the use of </w:t>
      </w:r>
      <w:r w:rsidRPr="00BB4B6E">
        <w:rPr>
          <w:color w:val="0E101A"/>
        </w:rPr>
        <w:t xml:space="preserve">bone nHA nano-fertilizer which has been shown to significantly increase in growth performance in kale, spinach and beans. </w:t>
      </w:r>
      <w:bookmarkStart w:id="302" w:name="_Toc61727583"/>
    </w:p>
    <w:p w:rsidR="00F934C1" w:rsidRPr="00600D3F" w:rsidRDefault="00F934C1" w:rsidP="00F934C1">
      <w:pPr>
        <w:autoSpaceDE/>
        <w:autoSpaceDN/>
        <w:adjustRightInd/>
        <w:ind w:left="720"/>
        <w:contextualSpacing/>
        <w:rPr>
          <w:color w:val="000000"/>
        </w:rPr>
      </w:pPr>
    </w:p>
    <w:p w:rsidR="00F934C1" w:rsidRPr="00BB4B6E" w:rsidRDefault="00F934C1" w:rsidP="00F934C1">
      <w:pPr>
        <w:pStyle w:val="Heading3"/>
      </w:pPr>
      <w:bookmarkStart w:id="303" w:name="_Toc144820080"/>
      <w:r w:rsidRPr="00BB4B6E">
        <w:t>5.2.2 Recommendation for Further Research</w:t>
      </w:r>
      <w:bookmarkEnd w:id="302"/>
      <w:bookmarkEnd w:id="303"/>
    </w:p>
    <w:p w:rsidR="00F934C1" w:rsidRPr="00BB4B6E" w:rsidRDefault="00F934C1" w:rsidP="00F934C1">
      <w:pPr>
        <w:widowControl w:val="0"/>
        <w:numPr>
          <w:ilvl w:val="0"/>
          <w:numId w:val="41"/>
        </w:numPr>
        <w:rPr>
          <w:bCs/>
        </w:rPr>
      </w:pPr>
      <w:r w:rsidRPr="00BB4B6E">
        <w:rPr>
          <w:bCs/>
        </w:rPr>
        <w:t>Bone nanofertilizers adsorption mechanism of other heavy metals to be studied.</w:t>
      </w:r>
    </w:p>
    <w:p w:rsidR="00F934C1" w:rsidRPr="00BB4B6E" w:rsidRDefault="00F934C1" w:rsidP="00F934C1">
      <w:pPr>
        <w:widowControl w:val="0"/>
        <w:numPr>
          <w:ilvl w:val="0"/>
          <w:numId w:val="41"/>
        </w:numPr>
        <w:rPr>
          <w:bCs/>
        </w:rPr>
      </w:pPr>
      <w:r w:rsidRPr="00BB4B6E">
        <w:rPr>
          <w:bCs/>
        </w:rPr>
        <w:t>Study of effect of bone nanoferti</w:t>
      </w:r>
      <w:r>
        <w:rPr>
          <w:bCs/>
        </w:rPr>
        <w:t>lizers on growth performance,</w:t>
      </w:r>
      <w:r w:rsidRPr="00BB4B6E">
        <w:rPr>
          <w:bCs/>
        </w:rPr>
        <w:t xml:space="preserve"> heavy metal and nutrient uptake by other crops should be done.</w:t>
      </w:r>
    </w:p>
    <w:p w:rsidR="00F934C1" w:rsidRPr="00BB4B6E" w:rsidRDefault="00F934C1" w:rsidP="00F934C1">
      <w:pPr>
        <w:widowControl w:val="0"/>
        <w:numPr>
          <w:ilvl w:val="0"/>
          <w:numId w:val="41"/>
        </w:numPr>
        <w:rPr>
          <w:rStyle w:val="hw"/>
          <w:bCs/>
        </w:rPr>
      </w:pPr>
      <w:r w:rsidRPr="00BB4B6E">
        <w:rPr>
          <w:bCs/>
        </w:rPr>
        <w:t>Study on the effect of bone nanofertilizers on bioavailability of essential nutrients in study crops should be done.</w:t>
      </w:r>
      <w:r w:rsidRPr="00BB4B6E">
        <w:rPr>
          <w:b/>
          <w:bCs/>
        </w:rPr>
        <w:br w:type="page"/>
      </w:r>
    </w:p>
    <w:p w:rsidR="00F934C1" w:rsidRPr="00C323D5" w:rsidRDefault="00F934C1" w:rsidP="00F934C1">
      <w:pPr>
        <w:pStyle w:val="Heading1"/>
      </w:pPr>
      <w:bookmarkStart w:id="304" w:name="_Toc144820081"/>
      <w:r w:rsidRPr="00C323D5">
        <w:lastRenderedPageBreak/>
        <w:t>REFERENCES</w:t>
      </w:r>
      <w:bookmarkEnd w:id="304"/>
    </w:p>
    <w:p w:rsidR="00F934C1" w:rsidRPr="00BB4B6E" w:rsidRDefault="00C226E6" w:rsidP="00F934C1">
      <w:pPr>
        <w:widowControl w:val="0"/>
        <w:spacing w:after="200" w:line="240" w:lineRule="auto"/>
        <w:ind w:left="480" w:hanging="480"/>
        <w:rPr>
          <w:noProof/>
          <w:color w:val="000000" w:themeColor="text1"/>
        </w:rPr>
      </w:pPr>
      <w:r w:rsidRPr="00BB4B6E">
        <w:rPr>
          <w:bCs/>
          <w:color w:val="000000" w:themeColor="text1"/>
        </w:rPr>
        <w:fldChar w:fldCharType="begin" w:fldLock="1"/>
      </w:r>
      <w:r w:rsidR="00F934C1" w:rsidRPr="00BB4B6E">
        <w:rPr>
          <w:bCs/>
          <w:color w:val="000000" w:themeColor="text1"/>
        </w:rPr>
        <w:instrText xml:space="preserve">ADDIN Mendeley Bibliography CSL_BIBLIOGRAPHY </w:instrText>
      </w:r>
      <w:r w:rsidRPr="00BB4B6E">
        <w:rPr>
          <w:bCs/>
          <w:color w:val="000000" w:themeColor="text1"/>
        </w:rPr>
        <w:fldChar w:fldCharType="separate"/>
      </w:r>
      <w:r w:rsidR="00F934C1" w:rsidRPr="00BB4B6E">
        <w:rPr>
          <w:noProof/>
          <w:color w:val="000000" w:themeColor="text1"/>
        </w:rPr>
        <w:t>Abbas, T., Rizwan, M., Zia-Ur-Rehman, M., Qayyum, M. F., Abbas, F., Ali, S</w:t>
      </w:r>
      <w:r w:rsidR="00F934C1">
        <w:rPr>
          <w:noProof/>
          <w:color w:val="000000" w:themeColor="text1"/>
        </w:rPr>
        <w:t>.</w:t>
      </w:r>
      <w:r w:rsidR="009702DC">
        <w:rPr>
          <w:noProof/>
          <w:color w:val="000000" w:themeColor="text1"/>
        </w:rPr>
        <w:t>, Hannan, F., Rinklebe, J.</w:t>
      </w:r>
      <w:r w:rsidR="002D066D">
        <w:rPr>
          <w:noProof/>
          <w:color w:val="000000" w:themeColor="text1"/>
        </w:rPr>
        <w:t xml:space="preserve"> and</w:t>
      </w:r>
      <w:r w:rsidR="00F934C1" w:rsidRPr="00BB4B6E">
        <w:rPr>
          <w:noProof/>
          <w:color w:val="000000" w:themeColor="text1"/>
        </w:rPr>
        <w:t xml:space="preserve"> Ok, Y. S. (2017). Effect of biochar on cadmium bioavailability and uptake in wheat (</w:t>
      </w:r>
      <w:r w:rsidR="00F934C1" w:rsidRPr="005964E6">
        <w:rPr>
          <w:i/>
          <w:noProof/>
          <w:color w:val="000000" w:themeColor="text1"/>
        </w:rPr>
        <w:t>Triticum aestivum L</w:t>
      </w:r>
      <w:r w:rsidR="00F934C1" w:rsidRPr="00BB4B6E">
        <w:rPr>
          <w:noProof/>
          <w:color w:val="000000" w:themeColor="text1"/>
        </w:rPr>
        <w:t xml:space="preserve">.) grown in a soil with aged contamination. </w:t>
      </w:r>
      <w:r w:rsidR="00F934C1" w:rsidRPr="00BB4B6E">
        <w:rPr>
          <w:i/>
          <w:iCs/>
          <w:noProof/>
          <w:color w:val="000000" w:themeColor="text1"/>
        </w:rPr>
        <w:t>Ecotoxicological Environmental Safety</w:t>
      </w:r>
      <w:r w:rsidR="00F934C1" w:rsidRPr="00BB4B6E">
        <w:rPr>
          <w:noProof/>
          <w:color w:val="000000" w:themeColor="text1"/>
        </w:rPr>
        <w:t xml:space="preserve">. </w:t>
      </w:r>
      <w:r w:rsidR="00F934C1" w:rsidRPr="00BB4B6E">
        <w:rPr>
          <w:iCs/>
          <w:noProof/>
          <w:color w:val="000000" w:themeColor="text1"/>
        </w:rPr>
        <w:t>140</w:t>
      </w:r>
      <w:r w:rsidR="00F934C1" w:rsidRPr="00BB4B6E">
        <w:rPr>
          <w:noProof/>
          <w:color w:val="000000" w:themeColor="text1"/>
        </w:rPr>
        <w:t>: 37–47.</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Ahmed, M. M. M. (2018). </w:t>
      </w:r>
      <w:r w:rsidRPr="00BB4B6E">
        <w:rPr>
          <w:iCs/>
          <w:noProof/>
          <w:color w:val="000000" w:themeColor="text1"/>
        </w:rPr>
        <w:t>Physiological studies on fertilization of flame seedlings grapevines by nano-technology system</w:t>
      </w:r>
      <w:r w:rsidRPr="00BB4B6E">
        <w:rPr>
          <w:i/>
          <w:iCs/>
          <w:noProof/>
          <w:color w:val="000000" w:themeColor="text1"/>
        </w:rPr>
        <w:t>. M. Sc. Thesis Faculty of Agriculture .</w:t>
      </w:r>
      <w:r w:rsidRPr="00BB4B6E">
        <w:rPr>
          <w:noProof/>
          <w:color w:val="000000" w:themeColor="text1"/>
        </w:rPr>
        <w:t xml:space="preserve"> Minia University Egypt, 63-73.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Alexandre, K., Xiao, H., Zhiyong, Z., Yuhui, M., P. Z., Gibson, M. A. </w:t>
      </w:r>
      <w:r w:rsidR="002D066D">
        <w:rPr>
          <w:noProof/>
          <w:color w:val="000000" w:themeColor="text1"/>
        </w:rPr>
        <w:t>and</w:t>
      </w:r>
      <w:r w:rsidRPr="00BB4B6E">
        <w:rPr>
          <w:noProof/>
          <w:color w:val="000000" w:themeColor="text1"/>
        </w:rPr>
        <w:t xml:space="preserve"> Yukui, R. (2017). Magnetic (Fe</w:t>
      </w:r>
      <w:r w:rsidRPr="00BB4B6E">
        <w:rPr>
          <w:noProof/>
          <w:color w:val="000000" w:themeColor="text1"/>
          <w:vertAlign w:val="subscript"/>
        </w:rPr>
        <w:t>3</w:t>
      </w:r>
      <w:r w:rsidRPr="00BB4B6E">
        <w:rPr>
          <w:noProof/>
          <w:color w:val="000000" w:themeColor="text1"/>
        </w:rPr>
        <w:t>O</w:t>
      </w:r>
      <w:r w:rsidRPr="00BB4B6E">
        <w:rPr>
          <w:noProof/>
          <w:color w:val="000000" w:themeColor="text1"/>
          <w:vertAlign w:val="subscript"/>
        </w:rPr>
        <w:t>4</w:t>
      </w:r>
      <w:r w:rsidRPr="00BB4B6E">
        <w:rPr>
          <w:noProof/>
          <w:color w:val="000000" w:themeColor="text1"/>
        </w:rPr>
        <w:t xml:space="preserve">) Nanoparticles Reduce Heavy Metals Uptake and Mitigate Their Toxicity in Wheat Seedling. </w:t>
      </w:r>
      <w:r w:rsidRPr="00BB4B6E">
        <w:rPr>
          <w:i/>
          <w:iCs/>
          <w:noProof/>
          <w:color w:val="000000" w:themeColor="text1"/>
        </w:rPr>
        <w:t>Sustainable Polymer Composites and Nanocomposites.</w:t>
      </w:r>
      <w:r w:rsidRPr="005964E6">
        <w:rPr>
          <w:iCs/>
          <w:noProof/>
          <w:color w:val="000000" w:themeColor="text1"/>
        </w:rPr>
        <w:t>23</w:t>
      </w:r>
      <w:r w:rsidRPr="00BB4B6E">
        <w:rPr>
          <w:noProof/>
          <w:color w:val="000000" w:themeColor="text1"/>
        </w:rPr>
        <w:t>: 123–129.</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Ansari, S. M., Naghib, F. </w:t>
      </w:r>
      <w:r w:rsidR="002D066D">
        <w:rPr>
          <w:noProof/>
          <w:color w:val="000000" w:themeColor="text1"/>
        </w:rPr>
        <w:t>and</w:t>
      </w:r>
      <w:r w:rsidRPr="00BB4B6E">
        <w:rPr>
          <w:noProof/>
          <w:color w:val="000000" w:themeColor="text1"/>
        </w:rPr>
        <w:t xml:space="preserve"> Moztarzadeh, A. S. (2011). Synthesis and characterization of nanohydroxyapatite- calcium hydroxide for dental composites. </w:t>
      </w:r>
      <w:r w:rsidRPr="00BB4B6E">
        <w:rPr>
          <w:i/>
          <w:noProof/>
          <w:color w:val="000000" w:themeColor="text1"/>
        </w:rPr>
        <w:t>Environmental Science &amp; Technology</w:t>
      </w:r>
      <w:r w:rsidRPr="00BB4B6E">
        <w:rPr>
          <w:noProof/>
          <w:color w:val="000000" w:themeColor="text1"/>
        </w:rPr>
        <w:t>. 19(11): 8471 - 8483.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Asare, E. A., Zaini, B. A., Rafeah, B. W., Kwabera, D. E. </w:t>
      </w:r>
      <w:r w:rsidR="002D066D">
        <w:rPr>
          <w:noProof/>
          <w:color w:val="000000" w:themeColor="text1"/>
        </w:rPr>
        <w:t>and</w:t>
      </w:r>
      <w:r w:rsidRPr="00BB4B6E">
        <w:rPr>
          <w:noProof/>
          <w:color w:val="000000" w:themeColor="text1"/>
        </w:rPr>
        <w:t xml:space="preserve"> Wilson, F. (2019).Validation of the Atomic Absorption Spectroscopy (AAS) for Heavy Metal Analysis and Geochemical Exploration of sediment samples from the Sebangan River. </w:t>
      </w:r>
      <w:r w:rsidRPr="00BB4B6E">
        <w:rPr>
          <w:i/>
          <w:noProof/>
          <w:color w:val="000000" w:themeColor="text1"/>
        </w:rPr>
        <w:t>Advances in Analytical Chemistry</w:t>
      </w:r>
      <w:r w:rsidRPr="00BB4B6E">
        <w:rPr>
          <w:noProof/>
          <w:color w:val="000000" w:themeColor="text1"/>
        </w:rPr>
        <w:t>. 9(2): 23-33.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Banerjee, S., Yogesh, C., Sharma,</w:t>
      </w:r>
      <w:r>
        <w:rPr>
          <w:noProof/>
          <w:color w:val="000000" w:themeColor="text1"/>
        </w:rPr>
        <w:t xml:space="preserve"> K. M., Dubey, S., Kumar, R. G.</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Chattopadhyaya, M. C. (2019). Adsorption Characteristics of Alumina (Al</w:t>
      </w:r>
      <w:r w:rsidRPr="00BB4B6E">
        <w:rPr>
          <w:noProof/>
          <w:color w:val="000000" w:themeColor="text1"/>
          <w:vertAlign w:val="subscript"/>
        </w:rPr>
        <w:t>2</w:t>
      </w:r>
      <w:r w:rsidRPr="00BB4B6E">
        <w:rPr>
          <w:noProof/>
          <w:color w:val="000000" w:themeColor="text1"/>
        </w:rPr>
        <w:t>O</w:t>
      </w:r>
      <w:r w:rsidRPr="00BB4B6E">
        <w:rPr>
          <w:noProof/>
          <w:color w:val="000000" w:themeColor="text1"/>
          <w:vertAlign w:val="subscript"/>
        </w:rPr>
        <w:t>3</w:t>
      </w:r>
      <w:r w:rsidRPr="00BB4B6E">
        <w:rPr>
          <w:noProof/>
          <w:color w:val="000000" w:themeColor="text1"/>
        </w:rPr>
        <w:t xml:space="preserve">) Nanoparticles for the Removal of Hazardous dye, (Orange G) from aqueous solutions. </w:t>
      </w:r>
      <w:r w:rsidRPr="00BB4B6E">
        <w:rPr>
          <w:i/>
          <w:noProof/>
          <w:color w:val="000000" w:themeColor="text1"/>
        </w:rPr>
        <w:t>Arabian Journal of Chemistry</w:t>
      </w:r>
      <w:r w:rsidRPr="00BB4B6E">
        <w:rPr>
          <w:noProof/>
          <w:color w:val="000000" w:themeColor="text1"/>
        </w:rPr>
        <w:t>. 12(8): 5339-5354.</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Bertazzo, S., Zambuzzi, W. F., Campos, D. D. P., Ogeda, T. L., Ferreira,</w:t>
      </w:r>
      <w:r>
        <w:rPr>
          <w:noProof/>
          <w:color w:val="000000" w:themeColor="text1"/>
        </w:rPr>
        <w:t xml:space="preserve"> C. V.</w:t>
      </w:r>
      <w:r w:rsidR="009702DC">
        <w:rPr>
          <w:noProof/>
          <w:color w:val="000000" w:themeColor="text1"/>
        </w:rPr>
        <w:t xml:space="preserve"> </w:t>
      </w:r>
      <w:r w:rsidRPr="00BB4B6E">
        <w:rPr>
          <w:noProof/>
          <w:color w:val="000000" w:themeColor="text1"/>
        </w:rPr>
        <w:t xml:space="preserve">&amp; Bertran, C. A. (2010). Hydroxyapatite surface solubility and effect on cell adhesion. </w:t>
      </w:r>
      <w:r w:rsidRPr="00BB4B6E">
        <w:rPr>
          <w:i/>
          <w:iCs/>
          <w:noProof/>
          <w:color w:val="000000" w:themeColor="text1"/>
        </w:rPr>
        <w:t>Colloids Surface Biointerfaces.</w:t>
      </w:r>
      <w:r w:rsidRPr="00BB4B6E">
        <w:rPr>
          <w:iCs/>
          <w:noProof/>
          <w:color w:val="000000" w:themeColor="text1"/>
        </w:rPr>
        <w:t>78</w:t>
      </w:r>
      <w:r w:rsidRPr="00BB4B6E">
        <w:rPr>
          <w:noProof/>
          <w:color w:val="000000" w:themeColor="text1"/>
        </w:rPr>
        <w:t>: 177–184.</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Beyer, Y., Beanland, R.</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Midgley, P. A. (2012). Low Voltage STEM Imaging of Multi-walled Carbon Nanotubes. </w:t>
      </w:r>
      <w:r w:rsidRPr="00BB4B6E">
        <w:rPr>
          <w:i/>
          <w:noProof/>
          <w:color w:val="000000" w:themeColor="text1"/>
        </w:rPr>
        <w:t>Micron</w:t>
      </w:r>
      <w:r w:rsidRPr="00BB4B6E">
        <w:rPr>
          <w:i/>
          <w:iCs/>
          <w:noProof/>
          <w:color w:val="000000" w:themeColor="text1"/>
        </w:rPr>
        <w:t>.</w:t>
      </w:r>
      <w:r w:rsidRPr="00BB4B6E">
        <w:rPr>
          <w:iCs/>
          <w:noProof/>
          <w:color w:val="000000" w:themeColor="text1"/>
        </w:rPr>
        <w:t>43</w:t>
      </w:r>
      <w:r w:rsidRPr="00BB4B6E">
        <w:rPr>
          <w:noProof/>
          <w:color w:val="000000" w:themeColor="text1"/>
        </w:rPr>
        <w:t>: 428–434.</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Birendra, N. B., Vij</w:t>
      </w:r>
      <w:r>
        <w:rPr>
          <w:noProof/>
          <w:color w:val="000000" w:themeColor="text1"/>
        </w:rPr>
        <w:t>ay, K. M., Shyam, B. R., Om, P.</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Kumar, D. (2019). Structure of Apatite Nanoparticles Derived from Marine Animal (Crab) shells: An Environment-Friendly and cost-effective Novel Approach to Recycle Seafood Waste. </w:t>
      </w:r>
      <w:r w:rsidRPr="00BB4B6E">
        <w:rPr>
          <w:i/>
          <w:noProof/>
          <w:color w:val="000000" w:themeColor="text1"/>
        </w:rPr>
        <w:t>ACS OMEGA</w:t>
      </w:r>
      <w:r w:rsidRPr="00BB4B6E">
        <w:rPr>
          <w:noProof/>
          <w:color w:val="000000" w:themeColor="text1"/>
        </w:rPr>
        <w:t>. 4(7): 12753-12758.</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Buyukkilic, A. Y., Malatya, T</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Yunerdag, G. (2022). Heavy Metal Evaluation of Overused Commercial Fertilizers and Their Interaction with Soil Properties. </w:t>
      </w:r>
      <w:r w:rsidRPr="00BB4B6E">
        <w:rPr>
          <w:i/>
          <w:noProof/>
          <w:color w:val="000000" w:themeColor="text1"/>
        </w:rPr>
        <w:t>Journal of Agricultural Production</w:t>
      </w:r>
      <w:r w:rsidRPr="00BB4B6E">
        <w:rPr>
          <w:noProof/>
          <w:color w:val="000000" w:themeColor="text1"/>
        </w:rPr>
        <w:t>. 3(2): 58-68.</w:t>
      </w:r>
    </w:p>
    <w:p w:rsidR="006D47C4" w:rsidRDefault="006D47C4">
      <w:pPr>
        <w:autoSpaceDE/>
        <w:autoSpaceDN/>
        <w:adjustRightInd/>
        <w:spacing w:after="200" w:line="276" w:lineRule="auto"/>
        <w:jc w:val="left"/>
        <w:rPr>
          <w:noProof/>
          <w:color w:val="000000" w:themeColor="text1"/>
        </w:rPr>
      </w:pPr>
      <w:r>
        <w:rPr>
          <w:noProof/>
          <w:color w:val="000000" w:themeColor="text1"/>
        </w:rPr>
        <w:br w:type="page"/>
      </w:r>
    </w:p>
    <w:p w:rsidR="006D47C4" w:rsidRDefault="00F934C1" w:rsidP="006570E1">
      <w:pPr>
        <w:widowControl w:val="0"/>
        <w:spacing w:after="200" w:line="240" w:lineRule="auto"/>
        <w:ind w:left="480" w:hanging="480"/>
        <w:rPr>
          <w:noProof/>
          <w:color w:val="000000" w:themeColor="text1"/>
        </w:rPr>
      </w:pPr>
      <w:r w:rsidRPr="00BB4B6E">
        <w:rPr>
          <w:noProof/>
          <w:color w:val="000000" w:themeColor="text1"/>
        </w:rPr>
        <w:lastRenderedPageBreak/>
        <w:t xml:space="preserve">Cai, D. Q., Jiang, J., Wu, Z. Y., Feng, </w:t>
      </w:r>
      <w:r>
        <w:rPr>
          <w:noProof/>
          <w:color w:val="000000" w:themeColor="text1"/>
        </w:rPr>
        <w:t>H. Y., Brown, I. G., Chu, P. K.</w:t>
      </w:r>
      <w:r w:rsidR="009702DC">
        <w:rPr>
          <w:noProof/>
          <w:color w:val="000000" w:themeColor="text1"/>
        </w:rPr>
        <w:t xml:space="preserve"> </w:t>
      </w:r>
      <w:r w:rsidR="002D066D">
        <w:rPr>
          <w:noProof/>
          <w:color w:val="000000" w:themeColor="text1"/>
        </w:rPr>
        <w:t>and</w:t>
      </w:r>
      <w:r>
        <w:rPr>
          <w:noProof/>
          <w:color w:val="000000" w:themeColor="text1"/>
        </w:rPr>
        <w:t xml:space="preserve"> Yu, Z. L. (2014). Controlling Nitrogen Migration Through Micro-nano N</w:t>
      </w:r>
      <w:r w:rsidRPr="00BB4B6E">
        <w:rPr>
          <w:noProof/>
          <w:color w:val="000000" w:themeColor="text1"/>
        </w:rPr>
        <w:t xml:space="preserve">etworks. </w:t>
      </w:r>
      <w:r w:rsidRPr="00BB4B6E">
        <w:rPr>
          <w:i/>
          <w:iCs/>
          <w:noProof/>
          <w:color w:val="000000" w:themeColor="text1"/>
        </w:rPr>
        <w:t>Science Reprentation.</w:t>
      </w:r>
      <w:r w:rsidRPr="00BB4B6E">
        <w:rPr>
          <w:iCs/>
          <w:noProof/>
          <w:color w:val="000000" w:themeColor="text1"/>
        </w:rPr>
        <w:t>4</w:t>
      </w:r>
      <w:r w:rsidRPr="00BB4B6E">
        <w:rPr>
          <w:noProof/>
          <w:color w:val="000000" w:themeColor="text1"/>
        </w:rPr>
        <w:t>: 36-65.</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Calin, A. D., Galceran, J., Carlos, R. C., Puy, J., Encarnacio, C., Jose, S., Monne, J., Rachel, W. </w:t>
      </w:r>
      <w:r w:rsidR="002D066D">
        <w:rPr>
          <w:noProof/>
          <w:color w:val="000000" w:themeColor="text1"/>
        </w:rPr>
        <w:t>and</w:t>
      </w:r>
      <w:r w:rsidRPr="00BB4B6E">
        <w:rPr>
          <w:noProof/>
          <w:color w:val="000000" w:themeColor="text1"/>
        </w:rPr>
        <w:t xml:space="preserve"> Vakourov, A. (2012). Dissolution Kinetics and solubility of ZnO Nanoparticles. </w:t>
      </w:r>
      <w:r w:rsidRPr="00BB4B6E">
        <w:rPr>
          <w:i/>
          <w:noProof/>
          <w:color w:val="000000" w:themeColor="text1"/>
        </w:rPr>
        <w:t>Journal Physical Chemistry</w:t>
      </w:r>
      <w:r w:rsidRPr="00BB4B6E">
        <w:rPr>
          <w:noProof/>
          <w:color w:val="000000" w:themeColor="text1"/>
        </w:rPr>
        <w:t>. 10: 1021 - 1029.</w:t>
      </w:r>
    </w:p>
    <w:p w:rsidR="00F934C1" w:rsidRPr="00BB4B6E" w:rsidRDefault="009702DC" w:rsidP="00F934C1">
      <w:pPr>
        <w:widowControl w:val="0"/>
        <w:spacing w:after="200" w:line="240" w:lineRule="auto"/>
        <w:ind w:left="480" w:hanging="480"/>
        <w:rPr>
          <w:noProof/>
          <w:color w:val="000000" w:themeColor="text1"/>
        </w:rPr>
      </w:pPr>
      <w:r>
        <w:rPr>
          <w:noProof/>
          <w:color w:val="000000" w:themeColor="text1"/>
        </w:rPr>
        <w:t>Chuanjia, J., George, R. A.</w:t>
      </w:r>
      <w:r w:rsidR="00F934C1" w:rsidRPr="00BB4B6E">
        <w:rPr>
          <w:noProof/>
          <w:color w:val="000000" w:themeColor="text1"/>
        </w:rPr>
        <w:t xml:space="preserve"> </w:t>
      </w:r>
      <w:r w:rsidR="002D066D">
        <w:rPr>
          <w:noProof/>
          <w:color w:val="000000" w:themeColor="text1"/>
        </w:rPr>
        <w:t>and</w:t>
      </w:r>
      <w:r w:rsidR="00F934C1" w:rsidRPr="00BB4B6E">
        <w:rPr>
          <w:noProof/>
          <w:color w:val="000000" w:themeColor="text1"/>
        </w:rPr>
        <w:t xml:space="preserve"> Heileen, H. K. (2015). Effects of natural organic matter properties of the Dissolution kinetics of ZnO nanoparticles. </w:t>
      </w:r>
      <w:r w:rsidR="00F934C1" w:rsidRPr="00BB4B6E">
        <w:rPr>
          <w:i/>
          <w:noProof/>
          <w:color w:val="000000" w:themeColor="text1"/>
        </w:rPr>
        <w:t>Environmental Science &amp; Technology</w:t>
      </w:r>
      <w:r w:rsidR="00F934C1" w:rsidRPr="00BB4B6E">
        <w:rPr>
          <w:noProof/>
          <w:color w:val="000000" w:themeColor="text1"/>
        </w:rPr>
        <w:t>. 49(19): 11476 - 11484.</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Cui, H. X., Liu, Q., Jiang, J., Sun, C. J</w:t>
      </w:r>
      <w:r>
        <w:rPr>
          <w:noProof/>
          <w:color w:val="000000" w:themeColor="text1"/>
        </w:rPr>
        <w:t>.</w:t>
      </w:r>
      <w:r w:rsidR="009702DC">
        <w:rPr>
          <w:noProof/>
          <w:color w:val="000000" w:themeColor="text1"/>
        </w:rPr>
        <w:t xml:space="preserve"> </w:t>
      </w:r>
      <w:r w:rsidR="002D066D">
        <w:rPr>
          <w:noProof/>
          <w:color w:val="000000" w:themeColor="text1"/>
        </w:rPr>
        <w:t>and</w:t>
      </w:r>
      <w:r w:rsidR="00171FD1">
        <w:rPr>
          <w:noProof/>
          <w:color w:val="000000" w:themeColor="text1"/>
        </w:rPr>
        <w:t xml:space="preserve"> </w:t>
      </w:r>
      <w:r>
        <w:rPr>
          <w:noProof/>
          <w:color w:val="000000" w:themeColor="text1"/>
        </w:rPr>
        <w:t>Gu, W. (2010). Applications of Nano-technology in Agrochemical Formulation, Perspectives, Challenges and S</w:t>
      </w:r>
      <w:r w:rsidRPr="00BB4B6E">
        <w:rPr>
          <w:noProof/>
          <w:color w:val="000000" w:themeColor="text1"/>
        </w:rPr>
        <w:t xml:space="preserve">trategies. </w:t>
      </w:r>
      <w:r w:rsidRPr="00BB4B6E">
        <w:rPr>
          <w:i/>
          <w:iCs/>
          <w:noProof/>
          <w:color w:val="000000" w:themeColor="text1"/>
        </w:rPr>
        <w:t xml:space="preserve">International Conference on Nanoagriculture, </w:t>
      </w:r>
      <w:r w:rsidRPr="00BB4B6E">
        <w:rPr>
          <w:iCs/>
          <w:noProof/>
          <w:color w:val="000000" w:themeColor="text1"/>
        </w:rPr>
        <w:t>Sao Pedro, Brazil</w:t>
      </w:r>
      <w:r w:rsidRPr="00BB4B6E">
        <w:rPr>
          <w:i/>
          <w:iCs/>
          <w:noProof/>
          <w:color w:val="000000" w:themeColor="text1"/>
        </w:rPr>
        <w:t>, 20-25 June 2010</w:t>
      </w:r>
      <w:r w:rsidRPr="00BB4B6E">
        <w:rPr>
          <w:noProof/>
          <w:color w:val="000000" w:themeColor="text1"/>
        </w:rPr>
        <w:t>: 14–22.</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Das, C. K., Srivastava, G., Dubey, A., Roy, M., Jain, S., Saxena, M , Seth</w:t>
      </w:r>
      <w:r>
        <w:rPr>
          <w:noProof/>
          <w:color w:val="000000" w:themeColor="text1"/>
        </w:rPr>
        <w:t xml:space="preserve">y, N. K., Harke, S., Sarkar, S. </w:t>
      </w:r>
      <w:r w:rsidR="002D066D">
        <w:rPr>
          <w:noProof/>
          <w:color w:val="000000" w:themeColor="text1"/>
        </w:rPr>
        <w:t>and</w:t>
      </w:r>
      <w:r>
        <w:rPr>
          <w:noProof/>
          <w:color w:val="000000" w:themeColor="text1"/>
        </w:rPr>
        <w:t xml:space="preserve"> Misra, K. (2016). Nano-iron Pyrite Seed D</w:t>
      </w:r>
      <w:r w:rsidRPr="00BB4B6E">
        <w:rPr>
          <w:noProof/>
          <w:color w:val="000000" w:themeColor="text1"/>
        </w:rPr>
        <w:t xml:space="preserve">ressing: A sustainable intervention to reduce fertilizer consumption in vegetable (beetroot, carrot), spice (fenugreek), fodder (alfalfa), and oilseed (mustard, sesamum) crops. </w:t>
      </w:r>
      <w:r w:rsidRPr="00BB4B6E">
        <w:rPr>
          <w:i/>
          <w:iCs/>
          <w:noProof/>
          <w:color w:val="000000" w:themeColor="text1"/>
        </w:rPr>
        <w:t>Nanotechnology and Environmental Engineering.</w:t>
      </w:r>
      <w:r w:rsidRPr="00BB4B6E">
        <w:rPr>
          <w:iCs/>
          <w:noProof/>
          <w:color w:val="000000" w:themeColor="text1"/>
        </w:rPr>
        <w:t>1</w:t>
      </w:r>
      <w:r w:rsidRPr="00BB4B6E">
        <w:rPr>
          <w:noProof/>
          <w:color w:val="000000" w:themeColor="text1"/>
        </w:rPr>
        <w:t>: 2-6.</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Davarpanah, S., Tehranifar, </w:t>
      </w:r>
      <w:r>
        <w:rPr>
          <w:noProof/>
          <w:color w:val="000000" w:themeColor="text1"/>
        </w:rPr>
        <w:t>A., Abadia, J., Davarynejad, G.</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Kh</w:t>
      </w:r>
      <w:r>
        <w:rPr>
          <w:noProof/>
          <w:color w:val="000000" w:themeColor="text1"/>
        </w:rPr>
        <w:t>orasani, R. (2016). Effects of Foliar Applications of Zinc and Boron Nanofertilizers on P</w:t>
      </w:r>
      <w:r w:rsidRPr="00BB4B6E">
        <w:rPr>
          <w:noProof/>
          <w:color w:val="000000" w:themeColor="text1"/>
        </w:rPr>
        <w:t>omegranate (P</w:t>
      </w:r>
      <w:r w:rsidRPr="00BB4B6E">
        <w:rPr>
          <w:i/>
          <w:noProof/>
          <w:color w:val="000000" w:themeColor="text1"/>
        </w:rPr>
        <w:t>unicagranatum cv. Ardestani</w:t>
      </w:r>
      <w:r>
        <w:rPr>
          <w:noProof/>
          <w:color w:val="000000" w:themeColor="text1"/>
        </w:rPr>
        <w:t>) Fruit Yield and Q</w:t>
      </w:r>
      <w:r w:rsidRPr="00BB4B6E">
        <w:rPr>
          <w:noProof/>
          <w:color w:val="000000" w:themeColor="text1"/>
        </w:rPr>
        <w:t xml:space="preserve">uality. </w:t>
      </w:r>
      <w:r w:rsidRPr="00BB4B6E">
        <w:rPr>
          <w:i/>
          <w:iCs/>
          <w:noProof/>
          <w:color w:val="000000" w:themeColor="text1"/>
        </w:rPr>
        <w:t xml:space="preserve">Science Horticulture. </w:t>
      </w:r>
      <w:r w:rsidRPr="00BB4B6E">
        <w:rPr>
          <w:iCs/>
          <w:noProof/>
          <w:color w:val="000000" w:themeColor="text1"/>
        </w:rPr>
        <w:t>210</w:t>
      </w:r>
      <w:r w:rsidRPr="00BB4B6E">
        <w:rPr>
          <w:noProof/>
          <w:color w:val="000000" w:themeColor="text1"/>
        </w:rPr>
        <w:t>: 57–65.</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DeRosa, M. C., Monreal, </w:t>
      </w:r>
      <w:r w:rsidR="009702DC">
        <w:rPr>
          <w:noProof/>
          <w:color w:val="000000" w:themeColor="text1"/>
        </w:rPr>
        <w:t>C., Walsh, R., Schnitzer, M. R.</w:t>
      </w:r>
      <w:r w:rsidRPr="00BB4B6E">
        <w:rPr>
          <w:noProof/>
          <w:color w:val="000000" w:themeColor="text1"/>
        </w:rPr>
        <w:t xml:space="preserve"> &amp; Sultan</w:t>
      </w:r>
      <w:r>
        <w:rPr>
          <w:noProof/>
          <w:color w:val="000000" w:themeColor="text1"/>
        </w:rPr>
        <w:t>, Y. (2010). Nanotechnology in F</w:t>
      </w:r>
      <w:r w:rsidRPr="00BB4B6E">
        <w:rPr>
          <w:noProof/>
          <w:color w:val="000000" w:themeColor="text1"/>
        </w:rPr>
        <w:t xml:space="preserve">ertilizers. </w:t>
      </w:r>
      <w:r w:rsidRPr="00BB4B6E">
        <w:rPr>
          <w:i/>
          <w:iCs/>
          <w:noProof/>
          <w:color w:val="000000" w:themeColor="text1"/>
        </w:rPr>
        <w:t>Natural Nanotechnology</w:t>
      </w:r>
      <w:r w:rsidRPr="00BB4B6E">
        <w:rPr>
          <w:noProof/>
          <w:color w:val="000000" w:themeColor="text1"/>
        </w:rPr>
        <w:t xml:space="preserve">. </w:t>
      </w:r>
      <w:r w:rsidRPr="00BB4B6E">
        <w:rPr>
          <w:iCs/>
          <w:noProof/>
          <w:color w:val="000000" w:themeColor="text1"/>
        </w:rPr>
        <w:t>5</w:t>
      </w:r>
      <w:r w:rsidRPr="00BB4B6E">
        <w:rPr>
          <w:noProof/>
          <w:color w:val="000000" w:themeColor="text1"/>
        </w:rPr>
        <w:t>: 91–92.</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Disfani, M.</w:t>
      </w:r>
      <w:r>
        <w:rPr>
          <w:noProof/>
          <w:color w:val="000000" w:themeColor="text1"/>
        </w:rPr>
        <w:t xml:space="preserve"> N., Mikhak, A., Kassaee, M. Z.</w:t>
      </w:r>
      <w:r w:rsidR="009702DC">
        <w:rPr>
          <w:noProof/>
          <w:color w:val="000000" w:themeColor="text1"/>
        </w:rPr>
        <w:t xml:space="preserve"> </w:t>
      </w:r>
      <w:r w:rsidR="002D066D">
        <w:rPr>
          <w:noProof/>
          <w:color w:val="000000" w:themeColor="text1"/>
        </w:rPr>
        <w:t>and</w:t>
      </w:r>
      <w:r w:rsidR="00171FD1">
        <w:rPr>
          <w:noProof/>
          <w:color w:val="000000" w:themeColor="text1"/>
        </w:rPr>
        <w:t xml:space="preserve"> </w:t>
      </w:r>
      <w:r>
        <w:rPr>
          <w:noProof/>
          <w:color w:val="000000" w:themeColor="text1"/>
        </w:rPr>
        <w:t>Maghari, A. (2017). Effects of N</w:t>
      </w:r>
      <w:r w:rsidRPr="00BB4B6E">
        <w:rPr>
          <w:noProof/>
          <w:color w:val="000000" w:themeColor="text1"/>
        </w:rPr>
        <w:t>ano Fe/SiO</w:t>
      </w:r>
      <w:r w:rsidRPr="00BB4B6E">
        <w:rPr>
          <w:noProof/>
          <w:color w:val="000000" w:themeColor="text1"/>
          <w:vertAlign w:val="subscript"/>
        </w:rPr>
        <w:t>2</w:t>
      </w:r>
      <w:r>
        <w:rPr>
          <w:noProof/>
          <w:color w:val="000000" w:themeColor="text1"/>
        </w:rPr>
        <w:t xml:space="preserve"> Fertilizers on Germination and Growth of Barley and M</w:t>
      </w:r>
      <w:r w:rsidRPr="00BB4B6E">
        <w:rPr>
          <w:noProof/>
          <w:color w:val="000000" w:themeColor="text1"/>
        </w:rPr>
        <w:t xml:space="preserve">aize. </w:t>
      </w:r>
      <w:r w:rsidRPr="00BB4B6E">
        <w:rPr>
          <w:i/>
          <w:iCs/>
          <w:noProof/>
          <w:color w:val="000000" w:themeColor="text1"/>
        </w:rPr>
        <w:t>Archives Agronomy Soil Science.</w:t>
      </w:r>
      <w:r w:rsidRPr="00BB4B6E">
        <w:rPr>
          <w:noProof/>
          <w:color w:val="000000" w:themeColor="text1"/>
        </w:rPr>
        <w:t xml:space="preserve">. </w:t>
      </w:r>
      <w:r w:rsidRPr="00BB4B6E">
        <w:rPr>
          <w:iCs/>
          <w:noProof/>
          <w:color w:val="000000" w:themeColor="text1"/>
        </w:rPr>
        <w:t>63</w:t>
      </w:r>
      <w:r w:rsidRPr="00BB4B6E">
        <w:rPr>
          <w:noProof/>
          <w:color w:val="000000" w:themeColor="text1"/>
        </w:rPr>
        <w:t>: 817–826.</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Dong, Q., Fang, J., Huang, F.</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Cai, K. (2019). Silicon Amendment Reduces Soil Cd Availability and Cd Uptake of Two Pennisetum Species. </w:t>
      </w:r>
      <w:r w:rsidRPr="00BB4B6E">
        <w:rPr>
          <w:i/>
          <w:iCs/>
          <w:noProof/>
          <w:color w:val="000000" w:themeColor="text1"/>
        </w:rPr>
        <w:t>International.Journal Environmental Resource in Public Health</w:t>
      </w:r>
      <w:r w:rsidRPr="00BB4B6E">
        <w:rPr>
          <w:noProof/>
          <w:color w:val="000000" w:themeColor="text1"/>
        </w:rPr>
        <w:t xml:space="preserve">. </w:t>
      </w:r>
      <w:r w:rsidRPr="00BB4B6E">
        <w:rPr>
          <w:iCs/>
          <w:noProof/>
          <w:color w:val="000000" w:themeColor="text1"/>
        </w:rPr>
        <w:t>16</w:t>
      </w:r>
      <w:r w:rsidRPr="00BB4B6E">
        <w:rPr>
          <w:noProof/>
          <w:color w:val="000000" w:themeColor="text1"/>
        </w:rPr>
        <w:t>: 16–24.</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Du, W., Yang, J., Liang,</w:t>
      </w:r>
      <w:r>
        <w:rPr>
          <w:noProof/>
          <w:color w:val="000000" w:themeColor="text1"/>
        </w:rPr>
        <w:t xml:space="preserve"> X., Peng, Q. </w:t>
      </w:r>
      <w:r w:rsidR="002D066D">
        <w:rPr>
          <w:noProof/>
          <w:color w:val="000000" w:themeColor="text1"/>
        </w:rPr>
        <w:t>and</w:t>
      </w:r>
      <w:r>
        <w:rPr>
          <w:noProof/>
          <w:color w:val="000000" w:themeColor="text1"/>
        </w:rPr>
        <w:t xml:space="preserve"> Mao, H. (2019). Comparison Study of ZnO N</w:t>
      </w:r>
      <w:r w:rsidRPr="00BB4B6E">
        <w:rPr>
          <w:noProof/>
          <w:color w:val="000000" w:themeColor="text1"/>
        </w:rPr>
        <w:t>anoparticles and ZnSO</w:t>
      </w:r>
      <w:r w:rsidRPr="00BB4B6E">
        <w:rPr>
          <w:noProof/>
          <w:color w:val="000000" w:themeColor="text1"/>
          <w:vertAlign w:val="subscript"/>
        </w:rPr>
        <w:t>4</w:t>
      </w:r>
      <w:r>
        <w:rPr>
          <w:noProof/>
          <w:color w:val="000000" w:themeColor="text1"/>
        </w:rPr>
        <w:t xml:space="preserve"> on Wheat G</w:t>
      </w:r>
      <w:r w:rsidRPr="00BB4B6E">
        <w:rPr>
          <w:noProof/>
          <w:color w:val="000000" w:themeColor="text1"/>
        </w:rPr>
        <w:t xml:space="preserve">rowth: From toxicity and zinc biofortification. </w:t>
      </w:r>
      <w:r w:rsidRPr="00BB4B6E">
        <w:rPr>
          <w:i/>
          <w:iCs/>
          <w:noProof/>
          <w:color w:val="000000" w:themeColor="text1"/>
        </w:rPr>
        <w:t>Chemosphere</w:t>
      </w:r>
      <w:r w:rsidRPr="00BB4B6E">
        <w:rPr>
          <w:noProof/>
          <w:color w:val="000000" w:themeColor="text1"/>
        </w:rPr>
        <w:t xml:space="preserve">. </w:t>
      </w:r>
      <w:r w:rsidRPr="00BB4B6E">
        <w:rPr>
          <w:iCs/>
          <w:noProof/>
          <w:color w:val="000000" w:themeColor="text1"/>
        </w:rPr>
        <w:t>227</w:t>
      </w:r>
      <w:r w:rsidRPr="00BB4B6E">
        <w:rPr>
          <w:noProof/>
          <w:color w:val="000000" w:themeColor="text1"/>
        </w:rPr>
        <w:t>: 109–116.</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Dubey, A.</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Mailapalli, D. R. (2016). </w:t>
      </w:r>
      <w:r>
        <w:rPr>
          <w:iCs/>
          <w:noProof/>
          <w:color w:val="000000" w:themeColor="text1"/>
        </w:rPr>
        <w:t>Nanofertilisers, Nanopesticides, Nanosensors of P</w:t>
      </w:r>
      <w:r w:rsidRPr="00BB4B6E">
        <w:rPr>
          <w:iCs/>
          <w:noProof/>
          <w:color w:val="000000" w:themeColor="text1"/>
        </w:rPr>
        <w:t>es</w:t>
      </w:r>
      <w:r>
        <w:rPr>
          <w:iCs/>
          <w:noProof/>
          <w:color w:val="000000" w:themeColor="text1"/>
        </w:rPr>
        <w:t>t and Nanotoxicity in A</w:t>
      </w:r>
      <w:r w:rsidRPr="00BB4B6E">
        <w:rPr>
          <w:iCs/>
          <w:noProof/>
          <w:color w:val="000000" w:themeColor="text1"/>
        </w:rPr>
        <w:t>griculture. In</w:t>
      </w:r>
      <w:r w:rsidRPr="00BB4B6E">
        <w:rPr>
          <w:i/>
          <w:iCs/>
          <w:noProof/>
          <w:color w:val="000000" w:themeColor="text1"/>
        </w:rPr>
        <w:t xml:space="preserve"> Sustainable Agriculture Reviews; Lichtfouse, E., Ed.; Springer: Chem, Switzerland.</w:t>
      </w:r>
      <w:r w:rsidRPr="00BB4B6E">
        <w:rPr>
          <w:noProof/>
          <w:color w:val="000000" w:themeColor="text1"/>
        </w:rPr>
        <w:t xml:space="preserve"> 19: 307–330.</w:t>
      </w:r>
    </w:p>
    <w:p w:rsidR="006D47C4" w:rsidRDefault="006D47C4">
      <w:pPr>
        <w:autoSpaceDE/>
        <w:autoSpaceDN/>
        <w:adjustRightInd/>
        <w:spacing w:after="200" w:line="276" w:lineRule="auto"/>
        <w:jc w:val="left"/>
        <w:rPr>
          <w:noProof/>
          <w:color w:val="000000" w:themeColor="text1"/>
        </w:rPr>
      </w:pPr>
      <w:r>
        <w:rPr>
          <w:noProof/>
          <w:color w:val="000000" w:themeColor="text1"/>
        </w:rPr>
        <w:br w:type="page"/>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lastRenderedPageBreak/>
        <w:t xml:space="preserve">Dwivedi, S., </w:t>
      </w:r>
      <w:r>
        <w:rPr>
          <w:noProof/>
          <w:color w:val="000000" w:themeColor="text1"/>
        </w:rPr>
        <w:t>Al-Khedhairy, A. A., Saquib, Q.</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Musarrat</w:t>
      </w:r>
      <w:r>
        <w:rPr>
          <w:noProof/>
          <w:color w:val="000000" w:themeColor="text1"/>
        </w:rPr>
        <w:t>, J. (2016). Understanding the Role of Nano-materials in A</w:t>
      </w:r>
      <w:r w:rsidRPr="00BB4B6E">
        <w:rPr>
          <w:noProof/>
          <w:color w:val="000000" w:themeColor="text1"/>
        </w:rPr>
        <w:t>griculture. In</w:t>
      </w:r>
      <w:r w:rsidRPr="00BB4B6E">
        <w:rPr>
          <w:i/>
          <w:iCs/>
          <w:noProof/>
          <w:color w:val="000000" w:themeColor="text1"/>
        </w:rPr>
        <w:t xml:space="preserve"> Microbial Inoculants in Sustainable Agricultural Productivity; </w:t>
      </w:r>
      <w:r w:rsidRPr="00BB4B6E">
        <w:rPr>
          <w:iCs/>
          <w:noProof/>
          <w:color w:val="000000" w:themeColor="text1"/>
        </w:rPr>
        <w:t>Singh, D.P., Singh, H.B., Prabha, R., Eds.; Springer: New Delhi, India</w:t>
      </w:r>
      <w:r w:rsidRPr="00BB4B6E">
        <w:rPr>
          <w:noProof/>
          <w:color w:val="000000" w:themeColor="text1"/>
        </w:rPr>
        <w:t>. 216:. 271–288..</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El-Feky, S. A., Mohammed, M. </w:t>
      </w:r>
      <w:r>
        <w:rPr>
          <w:noProof/>
          <w:color w:val="000000" w:themeColor="text1"/>
        </w:rPr>
        <w:t>A., Osman, Y. A., Khater, M. S.</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Elsherbini, E. (2013). </w:t>
      </w:r>
      <w:r>
        <w:rPr>
          <w:noProof/>
          <w:color w:val="000000" w:themeColor="text1"/>
        </w:rPr>
        <w:t>Effect of Magnetite Nanofertilizer on Growth and Y</w:t>
      </w:r>
      <w:r w:rsidRPr="00BB4B6E">
        <w:rPr>
          <w:noProof/>
          <w:color w:val="000000" w:themeColor="text1"/>
        </w:rPr>
        <w:t xml:space="preserve">ield of </w:t>
      </w:r>
      <w:r w:rsidRPr="00BB4B6E">
        <w:rPr>
          <w:i/>
          <w:noProof/>
          <w:color w:val="000000" w:themeColor="text1"/>
        </w:rPr>
        <w:t>Ocimumbasilicum L</w:t>
      </w:r>
      <w:r w:rsidRPr="00BB4B6E">
        <w:rPr>
          <w:noProof/>
          <w:color w:val="000000" w:themeColor="text1"/>
        </w:rPr>
        <w:t xml:space="preserve">. </w:t>
      </w:r>
      <w:r w:rsidRPr="00BB4B6E">
        <w:rPr>
          <w:i/>
          <w:iCs/>
          <w:noProof/>
          <w:color w:val="000000" w:themeColor="text1"/>
        </w:rPr>
        <w:t xml:space="preserve">International Journal of Indigenous Medicinal Plants. </w:t>
      </w:r>
      <w:r w:rsidRPr="00BB4B6E">
        <w:rPr>
          <w:iCs/>
          <w:noProof/>
          <w:color w:val="000000" w:themeColor="text1"/>
        </w:rPr>
        <w:t>46</w:t>
      </w:r>
      <w:r w:rsidRPr="00BB4B6E">
        <w:rPr>
          <w:noProof/>
          <w:color w:val="000000" w:themeColor="text1"/>
        </w:rPr>
        <w:t>: 1286–1293.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Ewa,</w:t>
      </w:r>
      <w:r>
        <w:rPr>
          <w:noProof/>
          <w:color w:val="000000" w:themeColor="text1"/>
        </w:rPr>
        <w:t xml:space="preserve"> B. W., Dominik, S., Patryk, O. </w:t>
      </w:r>
      <w:r w:rsidR="002D066D">
        <w:rPr>
          <w:noProof/>
          <w:color w:val="000000" w:themeColor="text1"/>
        </w:rPr>
        <w:t>and</w:t>
      </w:r>
      <w:r w:rsidRPr="00BB4B6E">
        <w:rPr>
          <w:noProof/>
          <w:color w:val="000000" w:themeColor="text1"/>
        </w:rPr>
        <w:t xml:space="preserve"> Anna, W. M. (2019). Effects of Titanium Dioxide (TiO</w:t>
      </w:r>
      <w:r w:rsidRPr="00BB4B6E">
        <w:rPr>
          <w:noProof/>
          <w:color w:val="000000" w:themeColor="text1"/>
          <w:vertAlign w:val="subscript"/>
        </w:rPr>
        <w:t>2</w:t>
      </w:r>
      <w:r w:rsidRPr="00BB4B6E">
        <w:rPr>
          <w:noProof/>
          <w:color w:val="000000" w:themeColor="text1"/>
        </w:rPr>
        <w:t xml:space="preserve">) Nanoparticles Exposure on Human Health-Review. </w:t>
      </w:r>
      <w:r w:rsidRPr="00BB4B6E">
        <w:rPr>
          <w:i/>
          <w:noProof/>
          <w:color w:val="000000" w:themeColor="text1"/>
        </w:rPr>
        <w:t>Biological Trace Elements Research</w:t>
      </w:r>
      <w:r w:rsidRPr="00BB4B6E">
        <w:rPr>
          <w:noProof/>
          <w:color w:val="000000" w:themeColor="text1"/>
        </w:rPr>
        <w:t>. 193: 118-129.</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FAO. (2015). The State of Food Insecurity in the World: Meeting the 2015 International Hunger Targets; Taking Stock of Uneven Progress. Italy, Rome, 2015:. 36-83.  </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Garcia, N. C. A., Jimeneze, H. M. C.,</w:t>
      </w:r>
      <w:r>
        <w:rPr>
          <w:noProof/>
          <w:color w:val="000000" w:themeColor="text1"/>
        </w:rPr>
        <w:t xml:space="preserve"> Soto, M., Blasco, J., Soto, M.</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Fernandez, A. (2015). STEM-in-SEM High Resolution Imaging of Gold Nanoparticles and Bivalve Tissues in Bioaccumulation Experiments. </w:t>
      </w:r>
      <w:r w:rsidRPr="00BB4B6E">
        <w:rPr>
          <w:i/>
          <w:noProof/>
          <w:color w:val="000000" w:themeColor="text1"/>
        </w:rPr>
        <w:t>Analysts</w:t>
      </w:r>
      <w:r w:rsidRPr="00BB4B6E">
        <w:rPr>
          <w:noProof/>
          <w:color w:val="000000" w:themeColor="text1"/>
        </w:rPr>
        <w:t>. 140: 3082-3089.</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Gil-Díaz, M., Pinilla, P.</w:t>
      </w:r>
      <w:r w:rsidRPr="00BB4B6E">
        <w:rPr>
          <w:noProof/>
          <w:color w:val="000000" w:themeColor="text1"/>
        </w:rPr>
        <w:t xml:space="preserve"> A. J. </w:t>
      </w:r>
      <w:r w:rsidR="002D066D">
        <w:rPr>
          <w:noProof/>
          <w:color w:val="000000" w:themeColor="text1"/>
        </w:rPr>
        <w:t>and</w:t>
      </w:r>
      <w:r w:rsidRPr="00BB4B6E">
        <w:rPr>
          <w:noProof/>
          <w:color w:val="000000" w:themeColor="text1"/>
        </w:rPr>
        <w:t xml:space="preserve"> Jath, H. M. (2</w:t>
      </w:r>
      <w:r>
        <w:rPr>
          <w:noProof/>
          <w:color w:val="000000" w:themeColor="text1"/>
        </w:rPr>
        <w:t>017). Viability of a Nano-remediation Process in Single or Multi-metallloid Contaminated S</w:t>
      </w:r>
      <w:r w:rsidRPr="00BB4B6E">
        <w:rPr>
          <w:noProof/>
          <w:color w:val="000000" w:themeColor="text1"/>
        </w:rPr>
        <w:t xml:space="preserve">oils. </w:t>
      </w:r>
      <w:r w:rsidRPr="00BB4B6E">
        <w:rPr>
          <w:i/>
          <w:iCs/>
          <w:noProof/>
          <w:color w:val="000000" w:themeColor="text1"/>
        </w:rPr>
        <w:t>Journal of Hazardous Matererial</w:t>
      </w:r>
      <w:r w:rsidRPr="00BB4B6E">
        <w:rPr>
          <w:noProof/>
          <w:color w:val="000000" w:themeColor="text1"/>
        </w:rPr>
        <w:t xml:space="preserve">. </w:t>
      </w:r>
      <w:r w:rsidRPr="00BB4B6E">
        <w:rPr>
          <w:iCs/>
          <w:noProof/>
          <w:color w:val="000000" w:themeColor="text1"/>
        </w:rPr>
        <w:t>321</w:t>
      </w:r>
      <w:r w:rsidRPr="00BB4B6E">
        <w:rPr>
          <w:noProof/>
          <w:color w:val="000000" w:themeColor="text1"/>
        </w:rPr>
        <w:t>: 812–819.</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Giroto, A., Fidelis, S.</w:t>
      </w:r>
      <w:r w:rsidR="009702DC">
        <w:rPr>
          <w:noProof/>
          <w:color w:val="000000" w:themeColor="text1"/>
        </w:rPr>
        <w:t xml:space="preserve"> </w:t>
      </w:r>
      <w:r w:rsidR="002D066D">
        <w:rPr>
          <w:noProof/>
          <w:color w:val="000000" w:themeColor="text1"/>
        </w:rPr>
        <w:t>and</w:t>
      </w:r>
      <w:r w:rsidR="00171FD1">
        <w:rPr>
          <w:noProof/>
          <w:color w:val="000000" w:themeColor="text1"/>
        </w:rPr>
        <w:t xml:space="preserve"> </w:t>
      </w:r>
      <w:r>
        <w:rPr>
          <w:noProof/>
          <w:color w:val="000000" w:themeColor="text1"/>
        </w:rPr>
        <w:t>Ribeiro, C. (2015). Controlled Drug R</w:t>
      </w:r>
      <w:r w:rsidRPr="00BB4B6E">
        <w:rPr>
          <w:noProof/>
          <w:color w:val="000000" w:themeColor="text1"/>
        </w:rPr>
        <w:t xml:space="preserve">elease from Hydroxyapatite Nanoparticles Incoporated into Biogradable Soluble Host matrixes. </w:t>
      </w:r>
      <w:r w:rsidRPr="00BB4B6E">
        <w:rPr>
          <w:i/>
          <w:noProof/>
          <w:color w:val="000000" w:themeColor="text1"/>
        </w:rPr>
        <w:t>RSC Advances</w:t>
      </w:r>
      <w:r w:rsidRPr="00BB4B6E">
        <w:rPr>
          <w:noProof/>
          <w:color w:val="000000" w:themeColor="text1"/>
        </w:rPr>
        <w:t>. 5: 104179-104186.</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Giraldo, J. P., Landry, M. P., Iverson, N. M., Faltermeier, S. M., McNicholas, T. P., Boghossian, A. A., Reuel, N. F., Brew, J. A., Hilmer, A. J., Sen, F. </w:t>
      </w:r>
      <w:r w:rsidR="002D066D">
        <w:rPr>
          <w:noProof/>
          <w:color w:val="000000" w:themeColor="text1"/>
        </w:rPr>
        <w:t>and</w:t>
      </w:r>
      <w:r w:rsidRPr="00BB4B6E">
        <w:rPr>
          <w:noProof/>
          <w:color w:val="000000" w:themeColor="text1"/>
        </w:rPr>
        <w:t xml:space="preserve"> Strano, M. S. (2014). Plant Nanobionics Approach to Augment Photosynthesis and Biochemical Sensing. </w:t>
      </w:r>
      <w:r w:rsidRPr="00BB4B6E">
        <w:rPr>
          <w:i/>
          <w:iCs/>
          <w:noProof/>
          <w:color w:val="000000" w:themeColor="text1"/>
        </w:rPr>
        <w:t>Natural Matter.</w:t>
      </w:r>
      <w:r w:rsidRPr="00BB4B6E">
        <w:rPr>
          <w:iCs/>
          <w:noProof/>
          <w:color w:val="000000" w:themeColor="text1"/>
        </w:rPr>
        <w:t>10</w:t>
      </w:r>
      <w:r w:rsidRPr="00BB4B6E">
        <w:rPr>
          <w:noProof/>
          <w:color w:val="000000" w:themeColor="text1"/>
        </w:rPr>
        <w:t>: 1038-1045.</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Guangmei, T., Xiaole, L. Q., Chenjiao, W., Lei, L., Jia</w:t>
      </w:r>
      <w:r>
        <w:rPr>
          <w:noProof/>
          <w:color w:val="000000" w:themeColor="text1"/>
        </w:rPr>
        <w:t>hang, G., Xiaolin, D., Meng, L.</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Jingxin, N. (2021). Nitrogen and Phosphorus Fertilization Increases the Uptake of Soil Heavy Metal Pollutants by Plant Community. </w:t>
      </w:r>
      <w:r w:rsidRPr="00BB4B6E">
        <w:rPr>
          <w:i/>
          <w:iCs/>
          <w:noProof/>
          <w:color w:val="000000" w:themeColor="text1"/>
        </w:rPr>
        <w:t xml:space="preserve">Research Square </w:t>
      </w:r>
      <w:r w:rsidRPr="00BB4B6E">
        <w:rPr>
          <w:iCs/>
          <w:noProof/>
          <w:color w:val="000000" w:themeColor="text1"/>
        </w:rPr>
        <w:t>https://doi.org/10.21203/rs.3-rs-413625/v1</w:t>
      </w:r>
      <w:r w:rsidRPr="00BB4B6E">
        <w:rPr>
          <w:i/>
          <w:iCs/>
          <w:noProof/>
          <w:color w:val="000000" w:themeColor="text1"/>
        </w:rPr>
        <w:t xml:space="preserve">. </w:t>
      </w:r>
      <w:r w:rsidRPr="00BB4B6E">
        <w:rPr>
          <w:iCs/>
          <w:noProof/>
          <w:color w:val="000000" w:themeColor="text1"/>
        </w:rPr>
        <w:t>10</w:t>
      </w:r>
      <w:r w:rsidRPr="00BB4B6E">
        <w:rPr>
          <w:noProof/>
          <w:color w:val="000000" w:themeColor="text1"/>
        </w:rPr>
        <w:t>: 38-45.</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Hame</w:t>
      </w:r>
      <w:r>
        <w:rPr>
          <w:noProof/>
          <w:color w:val="000000" w:themeColor="text1"/>
        </w:rPr>
        <w:t>ed, K. S., Muthirulan, P. M. M.</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Sundaram, M. M. (2017). Adsorption of Chromotrope Dye by Activated Carbons </w:t>
      </w:r>
      <w:r>
        <w:rPr>
          <w:noProof/>
          <w:color w:val="000000" w:themeColor="text1"/>
        </w:rPr>
        <w:t>O</w:t>
      </w:r>
      <w:r w:rsidRPr="00BB4B6E">
        <w:rPr>
          <w:noProof/>
          <w:color w:val="000000" w:themeColor="text1"/>
        </w:rPr>
        <w:t xml:space="preserve">btained from the Seeds of various Plants: Equilibrium and Kinetics Studies,. </w:t>
      </w:r>
      <w:r w:rsidRPr="00BB4B6E">
        <w:rPr>
          <w:i/>
          <w:iCs/>
          <w:noProof/>
          <w:color w:val="000000" w:themeColor="text1"/>
        </w:rPr>
        <w:t>Arabic. Journal of Chemistry.</w:t>
      </w:r>
      <w:r w:rsidRPr="00BB4B6E">
        <w:rPr>
          <w:iCs/>
          <w:noProof/>
          <w:color w:val="000000" w:themeColor="text1"/>
        </w:rPr>
        <w:t>10</w:t>
      </w:r>
      <w:r w:rsidRPr="00BB4B6E">
        <w:rPr>
          <w:noProof/>
          <w:color w:val="000000" w:themeColor="text1"/>
        </w:rPr>
        <w:t>(2): 2225–2233.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Helaly, M. N., El-Metwally, M. </w:t>
      </w:r>
      <w:r>
        <w:rPr>
          <w:noProof/>
          <w:color w:val="000000" w:themeColor="text1"/>
        </w:rPr>
        <w:t>A., El-Hoseiny, H., Omar, S. A.</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El-Sheery, N. I. (2014). Effect of Nanoparticles on Biological Contamination of Invitro Cultures and Organogenic Regeneration of Bananas. </w:t>
      </w:r>
      <w:r w:rsidRPr="00BB4B6E">
        <w:rPr>
          <w:i/>
          <w:iCs/>
          <w:noProof/>
          <w:color w:val="000000" w:themeColor="text1"/>
        </w:rPr>
        <w:t>Australian Journal of Crop Science.</w:t>
      </w:r>
      <w:r w:rsidRPr="00BB4B6E">
        <w:rPr>
          <w:iCs/>
          <w:noProof/>
          <w:color w:val="000000" w:themeColor="text1"/>
        </w:rPr>
        <w:t xml:space="preserve"> 8</w:t>
      </w:r>
      <w:r w:rsidRPr="00BB4B6E">
        <w:rPr>
          <w:noProof/>
          <w:color w:val="000000" w:themeColor="text1"/>
        </w:rPr>
        <w:t>: 612–624.</w:t>
      </w:r>
    </w:p>
    <w:p w:rsidR="00644636" w:rsidRDefault="00644636">
      <w:pPr>
        <w:autoSpaceDE/>
        <w:autoSpaceDN/>
        <w:adjustRightInd/>
        <w:spacing w:after="200" w:line="276" w:lineRule="auto"/>
        <w:jc w:val="left"/>
        <w:rPr>
          <w:noProof/>
          <w:color w:val="000000" w:themeColor="text1"/>
        </w:rPr>
      </w:pPr>
      <w:r>
        <w:rPr>
          <w:noProof/>
          <w:color w:val="000000" w:themeColor="text1"/>
        </w:rPr>
        <w:br w:type="page"/>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lastRenderedPageBreak/>
        <w:t>Iqbal, M., Raj</w:t>
      </w:r>
      <w:r>
        <w:rPr>
          <w:noProof/>
          <w:color w:val="000000" w:themeColor="text1"/>
        </w:rPr>
        <w:t>a, N. I., Ejaz, M., Hussain, M.</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Yasmeen, F. (2019). Effect of Silver Nanoparticles on Growth of Wheat under Heat Stress. </w:t>
      </w:r>
      <w:r w:rsidRPr="00BB4B6E">
        <w:rPr>
          <w:i/>
          <w:iCs/>
          <w:noProof/>
          <w:color w:val="000000" w:themeColor="text1"/>
        </w:rPr>
        <w:t>International Journal of Science and Technology</w:t>
      </w:r>
      <w:r w:rsidRPr="00BB4B6E">
        <w:rPr>
          <w:noProof/>
          <w:color w:val="000000" w:themeColor="text1"/>
        </w:rPr>
        <w:t xml:space="preserve">. </w:t>
      </w:r>
      <w:r w:rsidRPr="00BB4B6E">
        <w:rPr>
          <w:iCs/>
          <w:noProof/>
          <w:color w:val="000000" w:themeColor="text1"/>
        </w:rPr>
        <w:t>43</w:t>
      </w:r>
      <w:r w:rsidRPr="00BB4B6E">
        <w:rPr>
          <w:noProof/>
          <w:color w:val="000000" w:themeColor="text1"/>
        </w:rPr>
        <w:t>: 387–395.</w:t>
      </w:r>
    </w:p>
    <w:p w:rsidR="00F934C1"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Janan, </w:t>
      </w:r>
      <w:r>
        <w:rPr>
          <w:noProof/>
          <w:color w:val="000000" w:themeColor="text1"/>
        </w:rPr>
        <w:t>H., Zachary, J. O. D., Arka, R.</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Kathrya, R. R. (2014). In Situ Quantification of Silver Nanoparticles: Dissolution kinetics in simulated sweep using Linear sweep stripping voltametry. </w:t>
      </w:r>
      <w:r w:rsidRPr="00BB4B6E">
        <w:rPr>
          <w:i/>
          <w:noProof/>
          <w:color w:val="000000" w:themeColor="text1"/>
        </w:rPr>
        <w:t>Environmental Science &amp; Technology</w:t>
      </w:r>
      <w:r w:rsidRPr="00BB4B6E">
        <w:rPr>
          <w:noProof/>
          <w:color w:val="000000" w:themeColor="text1"/>
        </w:rPr>
        <w:t>. 53(22): 13117 - 13125.</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Joshi, A., Kaur</w:t>
      </w:r>
      <w:r>
        <w:rPr>
          <w:noProof/>
          <w:color w:val="000000" w:themeColor="text1"/>
        </w:rPr>
        <w:t>, S., Nayyar, H., Dharamvir, K.</w:t>
      </w:r>
      <w:r w:rsidR="009702DC">
        <w:rPr>
          <w:noProof/>
          <w:color w:val="000000" w:themeColor="text1"/>
        </w:rPr>
        <w:t xml:space="preserve"> </w:t>
      </w:r>
      <w:r w:rsidR="002D066D">
        <w:rPr>
          <w:noProof/>
          <w:color w:val="000000" w:themeColor="text1"/>
        </w:rPr>
        <w:t>and</w:t>
      </w:r>
      <w:r w:rsidR="00171FD1">
        <w:rPr>
          <w:noProof/>
          <w:color w:val="000000" w:themeColor="text1"/>
        </w:rPr>
        <w:t xml:space="preserve"> </w:t>
      </w:r>
      <w:r>
        <w:rPr>
          <w:noProof/>
          <w:color w:val="000000" w:themeColor="text1"/>
        </w:rPr>
        <w:t>Verma, G. (2018). Multi-walled C</w:t>
      </w:r>
      <w:r w:rsidRPr="00BB4B6E">
        <w:rPr>
          <w:noProof/>
          <w:color w:val="000000" w:themeColor="text1"/>
        </w:rPr>
        <w:t xml:space="preserve">arbon </w:t>
      </w:r>
      <w:r>
        <w:rPr>
          <w:noProof/>
          <w:color w:val="000000" w:themeColor="text1"/>
        </w:rPr>
        <w:t>Nanotubes Applied Through Seed-priming Influence Early Germination, Root Hair, Growth and Yield of Bread W</w:t>
      </w:r>
      <w:r w:rsidRPr="00BB4B6E">
        <w:rPr>
          <w:noProof/>
          <w:color w:val="000000" w:themeColor="text1"/>
        </w:rPr>
        <w:t>heat (</w:t>
      </w:r>
      <w:r w:rsidRPr="00930C35">
        <w:rPr>
          <w:i/>
          <w:noProof/>
          <w:color w:val="000000" w:themeColor="text1"/>
        </w:rPr>
        <w:t>Triticum aestivum L</w:t>
      </w:r>
      <w:r w:rsidRPr="00BB4B6E">
        <w:rPr>
          <w:noProof/>
          <w:color w:val="000000" w:themeColor="text1"/>
        </w:rPr>
        <w:t xml:space="preserve">.). </w:t>
      </w:r>
      <w:r w:rsidRPr="00BB4B6E">
        <w:rPr>
          <w:i/>
          <w:iCs/>
          <w:noProof/>
          <w:color w:val="000000" w:themeColor="text1"/>
        </w:rPr>
        <w:t>Journal of Science and Food Agriculture.</w:t>
      </w:r>
      <w:r w:rsidRPr="00BB4B6E">
        <w:rPr>
          <w:iCs/>
          <w:noProof/>
          <w:color w:val="000000" w:themeColor="text1"/>
        </w:rPr>
        <w:t>98</w:t>
      </w:r>
      <w:r w:rsidRPr="00BB4B6E">
        <w:rPr>
          <w:noProof/>
          <w:color w:val="000000" w:themeColor="text1"/>
        </w:rPr>
        <w:t>. 3148–3160.</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Karthik, C., Suresh, S., Sneha, M. </w:t>
      </w:r>
      <w:r w:rsidR="002D066D">
        <w:rPr>
          <w:noProof/>
          <w:color w:val="000000" w:themeColor="text1"/>
        </w:rPr>
        <w:t>and</w:t>
      </w:r>
      <w:r w:rsidRPr="00BB4B6E">
        <w:rPr>
          <w:noProof/>
          <w:color w:val="000000" w:themeColor="text1"/>
        </w:rPr>
        <w:t xml:space="preserve"> Kavitha, S. (2019). The FTIR Approach of Green Synthesized Silver nanoparticles by </w:t>
      </w:r>
      <w:r w:rsidRPr="00BB4B6E">
        <w:rPr>
          <w:i/>
          <w:noProof/>
          <w:color w:val="000000" w:themeColor="text1"/>
        </w:rPr>
        <w:t>Ocimum Sanatum</w:t>
      </w:r>
      <w:r w:rsidRPr="00BB4B6E">
        <w:rPr>
          <w:noProof/>
          <w:color w:val="000000" w:themeColor="text1"/>
        </w:rPr>
        <w:t xml:space="preserve"> and </w:t>
      </w:r>
      <w:r w:rsidRPr="00BB4B6E">
        <w:rPr>
          <w:i/>
          <w:noProof/>
          <w:color w:val="000000" w:themeColor="text1"/>
        </w:rPr>
        <w:t>Ocimum Gratisssimum</w:t>
      </w:r>
      <w:r w:rsidRPr="00BB4B6E">
        <w:rPr>
          <w:noProof/>
          <w:color w:val="000000" w:themeColor="text1"/>
        </w:rPr>
        <w:t xml:space="preserve"> on Mung Bean Seeds. </w:t>
      </w:r>
      <w:r w:rsidRPr="00BB4B6E">
        <w:rPr>
          <w:i/>
          <w:noProof/>
          <w:color w:val="000000" w:themeColor="text1"/>
        </w:rPr>
        <w:t>Inorganic and Nano-metal Chemistry</w:t>
      </w:r>
      <w:r w:rsidRPr="00BB4B6E">
        <w:rPr>
          <w:noProof/>
          <w:color w:val="000000" w:themeColor="text1"/>
        </w:rPr>
        <w:t>. 50: 606-612.</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Kole, C. P., Kole, K. M., Podila, P. C., Randun</w:t>
      </w:r>
      <w:r>
        <w:rPr>
          <w:noProof/>
          <w:color w:val="000000" w:themeColor="text1"/>
        </w:rPr>
        <w:t>u, P., Choudhary, R., Ke, M. R.</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Marcus, R. K.</w:t>
      </w:r>
      <w:r>
        <w:rPr>
          <w:noProof/>
          <w:color w:val="000000" w:themeColor="text1"/>
        </w:rPr>
        <w:t xml:space="preserve"> (2013). Nanobiotechnology can Boost Crop Production and Quality: F</w:t>
      </w:r>
      <w:r w:rsidRPr="00BB4B6E">
        <w:rPr>
          <w:noProof/>
          <w:color w:val="000000" w:themeColor="text1"/>
        </w:rPr>
        <w:t xml:space="preserve">irst evidence from increased plant biomass, fruit yield and phytomedicine content in bitter melon (Momordica charantia). </w:t>
      </w:r>
      <w:r w:rsidRPr="00BB4B6E">
        <w:rPr>
          <w:i/>
          <w:iCs/>
          <w:noProof/>
          <w:color w:val="000000" w:themeColor="text1"/>
        </w:rPr>
        <w:t>BMC Biotechnology.</w:t>
      </w:r>
      <w:r w:rsidRPr="00726E3A">
        <w:rPr>
          <w:iCs/>
          <w:noProof/>
          <w:color w:val="000000" w:themeColor="text1"/>
        </w:rPr>
        <w:t>13</w:t>
      </w:r>
      <w:r w:rsidRPr="00BB4B6E">
        <w:rPr>
          <w:noProof/>
          <w:color w:val="000000" w:themeColor="text1"/>
        </w:rPr>
        <w:t>(37): 1472–1550.</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 xml:space="preserve">Konate A., R., G. M. A. </w:t>
      </w:r>
      <w:r w:rsidR="002D066D">
        <w:rPr>
          <w:noProof/>
          <w:color w:val="000000" w:themeColor="text1"/>
        </w:rPr>
        <w:t>and</w:t>
      </w:r>
      <w:r w:rsidRPr="00BB4B6E">
        <w:rPr>
          <w:noProof/>
          <w:color w:val="000000" w:themeColor="text1"/>
        </w:rPr>
        <w:t xml:space="preserve"> Y</w:t>
      </w:r>
      <w:r>
        <w:rPr>
          <w:noProof/>
          <w:color w:val="000000" w:themeColor="text1"/>
        </w:rPr>
        <w:t>uang, M</w:t>
      </w:r>
      <w:r w:rsidRPr="00BB4B6E">
        <w:rPr>
          <w:noProof/>
          <w:color w:val="000000" w:themeColor="text1"/>
        </w:rPr>
        <w:t>. (2014). Magnetic (Fe</w:t>
      </w:r>
      <w:r w:rsidRPr="00726E3A">
        <w:rPr>
          <w:noProof/>
          <w:color w:val="000000" w:themeColor="text1"/>
          <w:vertAlign w:val="subscript"/>
        </w:rPr>
        <w:t>3</w:t>
      </w:r>
      <w:r w:rsidRPr="00BB4B6E">
        <w:rPr>
          <w:noProof/>
          <w:color w:val="000000" w:themeColor="text1"/>
        </w:rPr>
        <w:t>O</w:t>
      </w:r>
      <w:r w:rsidRPr="00726E3A">
        <w:rPr>
          <w:noProof/>
          <w:color w:val="000000" w:themeColor="text1"/>
          <w:vertAlign w:val="subscript"/>
        </w:rPr>
        <w:t>4</w:t>
      </w:r>
      <w:r w:rsidRPr="00BB4B6E">
        <w:rPr>
          <w:noProof/>
          <w:color w:val="000000" w:themeColor="text1"/>
        </w:rPr>
        <w:t xml:space="preserve">) Nanoparticles Reduce Heavy Uptake and Mitigate Their Toxicity in Wheat Seedling. </w:t>
      </w:r>
      <w:r w:rsidRPr="00BB4B6E">
        <w:rPr>
          <w:i/>
          <w:iCs/>
          <w:noProof/>
          <w:color w:val="000000" w:themeColor="text1"/>
        </w:rPr>
        <w:t xml:space="preserve">Sustainability. </w:t>
      </w:r>
      <w:r w:rsidRPr="00BB4B6E">
        <w:rPr>
          <w:iCs/>
          <w:noProof/>
          <w:color w:val="000000" w:themeColor="text1"/>
        </w:rPr>
        <w:t>140</w:t>
      </w:r>
      <w:r w:rsidRPr="00BB4B6E">
        <w:rPr>
          <w:noProof/>
          <w:color w:val="000000" w:themeColor="text1"/>
        </w:rPr>
        <w:t>: 1–8.</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Lateef, A., Nazir, R., Khan, M. N.</w:t>
      </w:r>
      <w:r>
        <w:rPr>
          <w:noProof/>
          <w:color w:val="000000" w:themeColor="text1"/>
        </w:rPr>
        <w:t>, Jamil, N., Alam, S., Shah, R.</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Saleem, M. (2016). Synthesis and Characterization of Zeolite based Nanocomposite: An Environment Friendly Slow-release Fertilizer. </w:t>
      </w:r>
      <w:r w:rsidRPr="00BB4B6E">
        <w:rPr>
          <w:i/>
          <w:iCs/>
          <w:noProof/>
          <w:color w:val="000000" w:themeColor="text1"/>
        </w:rPr>
        <w:t xml:space="preserve">Microporous Matter. </w:t>
      </w:r>
      <w:r w:rsidRPr="00BB4B6E">
        <w:rPr>
          <w:iCs/>
          <w:noProof/>
          <w:color w:val="000000" w:themeColor="text1"/>
        </w:rPr>
        <w:t>232</w:t>
      </w:r>
      <w:r w:rsidRPr="00BB4B6E">
        <w:rPr>
          <w:noProof/>
          <w:color w:val="000000" w:themeColor="text1"/>
        </w:rPr>
        <w:t>: 174–183.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Lee, W. M., Kwak, J. I. </w:t>
      </w:r>
      <w:r w:rsidR="002D066D">
        <w:rPr>
          <w:noProof/>
          <w:color w:val="000000" w:themeColor="text1"/>
        </w:rPr>
        <w:t>and</w:t>
      </w:r>
      <w:r w:rsidRPr="00BB4B6E">
        <w:rPr>
          <w:noProof/>
          <w:color w:val="000000" w:themeColor="text1"/>
        </w:rPr>
        <w:t xml:space="preserve"> Ani, Y. J. (2012). Effect of Silver Nanoparti</w:t>
      </w:r>
      <w:r>
        <w:rPr>
          <w:noProof/>
          <w:color w:val="000000" w:themeColor="text1"/>
        </w:rPr>
        <w:t>cles in Crop Plants; Phaseolus Radiates and Sorghum Bicolour; Media E</w:t>
      </w:r>
      <w:r w:rsidRPr="00BB4B6E">
        <w:rPr>
          <w:noProof/>
          <w:color w:val="000000" w:themeColor="text1"/>
        </w:rPr>
        <w:t>ffec</w:t>
      </w:r>
      <w:r>
        <w:rPr>
          <w:noProof/>
          <w:color w:val="000000" w:themeColor="text1"/>
        </w:rPr>
        <w:t>t on P</w:t>
      </w:r>
      <w:r w:rsidRPr="00BB4B6E">
        <w:rPr>
          <w:noProof/>
          <w:color w:val="000000" w:themeColor="text1"/>
        </w:rPr>
        <w:t xml:space="preserve">hytotoxicity. </w:t>
      </w:r>
      <w:r w:rsidRPr="00BB4B6E">
        <w:rPr>
          <w:i/>
          <w:iCs/>
          <w:noProof/>
          <w:color w:val="000000" w:themeColor="text1"/>
        </w:rPr>
        <w:t>Chemosphere</w:t>
      </w:r>
      <w:r w:rsidRPr="00BB4B6E">
        <w:rPr>
          <w:noProof/>
          <w:color w:val="000000" w:themeColor="text1"/>
        </w:rPr>
        <w:t xml:space="preserve">. </w:t>
      </w:r>
      <w:r w:rsidRPr="00BB4B6E">
        <w:rPr>
          <w:iCs/>
          <w:noProof/>
          <w:color w:val="000000" w:themeColor="text1"/>
        </w:rPr>
        <w:t>86</w:t>
      </w:r>
      <w:r w:rsidRPr="00BB4B6E">
        <w:rPr>
          <w:noProof/>
          <w:color w:val="000000" w:themeColor="text1"/>
        </w:rPr>
        <w:t>: 492-499.</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Ling, D., </w:t>
      </w:r>
      <w:r>
        <w:rPr>
          <w:noProof/>
          <w:color w:val="000000" w:themeColor="text1"/>
        </w:rPr>
        <w:t xml:space="preserve">Jianbing, L., Wei, L., Q. Z. </w:t>
      </w:r>
      <w:r w:rsidR="002D066D">
        <w:rPr>
          <w:noProof/>
          <w:color w:val="000000" w:themeColor="text1"/>
        </w:rPr>
        <w:t>and</w:t>
      </w:r>
      <w:r w:rsidRPr="00BB4B6E">
        <w:rPr>
          <w:noProof/>
          <w:color w:val="000000" w:themeColor="text1"/>
        </w:rPr>
        <w:t xml:space="preserve"> Shahid. L. (2017). Influence of NanoHydroxyapatite on the Metal Bioavailability, Plant Metal Accumulation and Root Soil., Exudates of Ryegrass for Phytoremediation in Lead-Polluted. </w:t>
      </w:r>
      <w:r w:rsidRPr="00BB4B6E">
        <w:rPr>
          <w:i/>
          <w:iCs/>
          <w:noProof/>
          <w:color w:val="000000" w:themeColor="text1"/>
        </w:rPr>
        <w:t>Journal of Biomaterials and Nanobiotechnology.</w:t>
      </w:r>
      <w:r w:rsidRPr="00BB4B6E">
        <w:rPr>
          <w:iCs/>
          <w:noProof/>
          <w:color w:val="000000" w:themeColor="text1"/>
        </w:rPr>
        <w:t>34</w:t>
      </w:r>
      <w:r w:rsidRPr="00BB4B6E">
        <w:rPr>
          <w:noProof/>
          <w:color w:val="000000" w:themeColor="text1"/>
        </w:rPr>
        <w:t>: 342–350.</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Liu, R. </w:t>
      </w:r>
      <w:r w:rsidR="002D066D">
        <w:rPr>
          <w:noProof/>
          <w:color w:val="000000" w:themeColor="text1"/>
        </w:rPr>
        <w:t>and</w:t>
      </w:r>
      <w:r w:rsidRPr="00BB4B6E">
        <w:rPr>
          <w:noProof/>
          <w:color w:val="000000" w:themeColor="text1"/>
        </w:rPr>
        <w:t xml:space="preserve"> Lal, R. (2014). Synthet</w:t>
      </w:r>
      <w:r>
        <w:rPr>
          <w:noProof/>
          <w:color w:val="000000" w:themeColor="text1"/>
        </w:rPr>
        <w:t>ic Apatite nano-particles as a P</w:t>
      </w:r>
      <w:r w:rsidRPr="00BB4B6E">
        <w:rPr>
          <w:noProof/>
          <w:color w:val="000000" w:themeColor="text1"/>
        </w:rPr>
        <w:t>hosphorus Fertilizer for Soy Bean (</w:t>
      </w:r>
      <w:r w:rsidRPr="00BB4B6E">
        <w:rPr>
          <w:i/>
          <w:noProof/>
          <w:color w:val="000000" w:themeColor="text1"/>
        </w:rPr>
        <w:t>Glycine max</w:t>
      </w:r>
      <w:r w:rsidRPr="00BB4B6E">
        <w:rPr>
          <w:noProof/>
          <w:color w:val="000000" w:themeColor="text1"/>
        </w:rPr>
        <w:t xml:space="preserve">). In </w:t>
      </w:r>
      <w:r w:rsidRPr="00BB4B6E">
        <w:rPr>
          <w:i/>
          <w:iCs/>
          <w:noProof/>
          <w:color w:val="000000" w:themeColor="text1"/>
        </w:rPr>
        <w:t>Scientific Reports.</w:t>
      </w:r>
      <w:r w:rsidRPr="00BB4B6E">
        <w:rPr>
          <w:noProof/>
          <w:color w:val="000000" w:themeColor="text1"/>
        </w:rPr>
        <w:t xml:space="preserve"> 4: 18–29.</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Ma, C., Chhikara, S., White, J. C., Xing, B., Musante, C. </w:t>
      </w:r>
      <w:r w:rsidR="002D066D">
        <w:rPr>
          <w:noProof/>
          <w:color w:val="000000" w:themeColor="text1"/>
        </w:rPr>
        <w:t>and</w:t>
      </w:r>
      <w:r w:rsidRPr="00BB4B6E">
        <w:rPr>
          <w:noProof/>
          <w:color w:val="000000" w:themeColor="text1"/>
        </w:rPr>
        <w:t xml:space="preserve"> Dhankher, O. P. (2013). Physiological and Molecular Response of </w:t>
      </w:r>
      <w:r w:rsidRPr="00BB4B6E">
        <w:rPr>
          <w:i/>
          <w:noProof/>
          <w:color w:val="000000" w:themeColor="text1"/>
        </w:rPr>
        <w:t>Arabidopsis Thaliana (L</w:t>
      </w:r>
      <w:r w:rsidRPr="00BB4B6E">
        <w:rPr>
          <w:noProof/>
          <w:color w:val="000000" w:themeColor="text1"/>
        </w:rPr>
        <w:t xml:space="preserve">.) to Nano-particles Cerium and Indium Oxide Exposure. </w:t>
      </w:r>
      <w:r w:rsidRPr="00BB4B6E">
        <w:rPr>
          <w:i/>
          <w:iCs/>
          <w:noProof/>
          <w:color w:val="000000" w:themeColor="text1"/>
        </w:rPr>
        <w:t>ACS Sustainable Chemical Engineering.</w:t>
      </w:r>
      <w:r w:rsidRPr="00BB4B6E">
        <w:rPr>
          <w:iCs/>
          <w:noProof/>
          <w:color w:val="000000" w:themeColor="text1"/>
        </w:rPr>
        <w:t>1</w:t>
      </w:r>
      <w:r w:rsidRPr="00BB4B6E">
        <w:rPr>
          <w:noProof/>
          <w:color w:val="000000" w:themeColor="text1"/>
        </w:rPr>
        <w:t>(7): 768–778.</w:t>
      </w:r>
    </w:p>
    <w:p w:rsidR="00644636" w:rsidRDefault="00644636">
      <w:pPr>
        <w:autoSpaceDE/>
        <w:autoSpaceDN/>
        <w:adjustRightInd/>
        <w:spacing w:after="200" w:line="276" w:lineRule="auto"/>
        <w:jc w:val="left"/>
        <w:rPr>
          <w:noProof/>
          <w:color w:val="000000" w:themeColor="text1"/>
        </w:rPr>
      </w:pPr>
      <w:r>
        <w:rPr>
          <w:noProof/>
          <w:color w:val="000000" w:themeColor="text1"/>
        </w:rPr>
        <w:br w:type="page"/>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lastRenderedPageBreak/>
        <w:t>Mehrazar, E., Mahdi, R.</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Somayeh, R. (2015). ‘Application of Nano-particles for Pesticides, Herbicides, Fertilizers and Animals Feed Management’. </w:t>
      </w:r>
      <w:r w:rsidRPr="00BB4B6E">
        <w:rPr>
          <w:i/>
          <w:iCs/>
          <w:noProof/>
          <w:color w:val="000000" w:themeColor="text1"/>
        </w:rPr>
        <w:t>International Journal of Nanoparticles</w:t>
      </w:r>
      <w:r w:rsidRPr="00BB4B6E">
        <w:rPr>
          <w:noProof/>
          <w:color w:val="000000" w:themeColor="text1"/>
        </w:rPr>
        <w:t>.</w:t>
      </w:r>
      <w:r w:rsidRPr="00BB4B6E">
        <w:rPr>
          <w:iCs/>
          <w:noProof/>
          <w:color w:val="000000" w:themeColor="text1"/>
        </w:rPr>
        <w:t>10</w:t>
      </w:r>
      <w:r w:rsidRPr="00BB4B6E">
        <w:rPr>
          <w:i/>
          <w:noProof/>
          <w:color w:val="000000" w:themeColor="text1"/>
        </w:rPr>
        <w:t>:</w:t>
      </w:r>
      <w:r w:rsidRPr="00BB4B6E">
        <w:rPr>
          <w:noProof/>
          <w:color w:val="000000" w:themeColor="text1"/>
        </w:rPr>
        <w:t xml:space="preserve"> 154-155.</w:t>
      </w:r>
    </w:p>
    <w:p w:rsidR="00F934C1"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Melika, T., Hania, A. Q., Ali, M. A. Q. </w:t>
      </w:r>
      <w:r w:rsidR="002D066D">
        <w:rPr>
          <w:noProof/>
          <w:color w:val="000000" w:themeColor="text1"/>
        </w:rPr>
        <w:t>and</w:t>
      </w:r>
      <w:r w:rsidRPr="00BB4B6E">
        <w:rPr>
          <w:noProof/>
          <w:color w:val="000000" w:themeColor="text1"/>
        </w:rPr>
        <w:t xml:space="preserve"> Mahdieh, Y. (2015). The Effects of ZnO Nano-particles on Growth Parameters of Corn (SC704). </w:t>
      </w:r>
      <w:r w:rsidRPr="00BB4B6E">
        <w:rPr>
          <w:i/>
          <w:iCs/>
          <w:noProof/>
          <w:color w:val="000000" w:themeColor="text1"/>
        </w:rPr>
        <w:t>Stem Fellowship Journal.</w:t>
      </w:r>
      <w:r w:rsidRPr="00BB4B6E">
        <w:rPr>
          <w:iCs/>
          <w:noProof/>
          <w:color w:val="000000" w:themeColor="text1"/>
        </w:rPr>
        <w:t>1</w:t>
      </w:r>
      <w:r w:rsidRPr="00BB4B6E">
        <w:rPr>
          <w:noProof/>
          <w:color w:val="000000" w:themeColor="text1"/>
        </w:rPr>
        <w:t>(1): 17-20.</w:t>
      </w:r>
    </w:p>
    <w:p w:rsidR="00F934C1" w:rsidRPr="00BB4B6E" w:rsidRDefault="009702DC" w:rsidP="00F934C1">
      <w:pPr>
        <w:widowControl w:val="0"/>
        <w:spacing w:after="200" w:line="240" w:lineRule="auto"/>
        <w:ind w:left="480" w:hanging="480"/>
        <w:rPr>
          <w:noProof/>
          <w:color w:val="000000" w:themeColor="text1"/>
        </w:rPr>
      </w:pPr>
      <w:r>
        <w:rPr>
          <w:noProof/>
          <w:color w:val="000000" w:themeColor="text1"/>
        </w:rPr>
        <w:t xml:space="preserve">Mohammad, K. S., Melik, H. </w:t>
      </w:r>
      <w:r w:rsidR="002D066D">
        <w:rPr>
          <w:noProof/>
          <w:color w:val="000000" w:themeColor="text1"/>
        </w:rPr>
        <w:t>and</w:t>
      </w:r>
      <w:r w:rsidR="00F934C1" w:rsidRPr="00BB4B6E">
        <w:rPr>
          <w:noProof/>
          <w:color w:val="000000" w:themeColor="text1"/>
        </w:rPr>
        <w:t xml:space="preserve"> Tao K. (2019). Plant Growth Stage Influences Heavy Metal Accumulation in Leafy Vegetables of </w:t>
      </w:r>
      <w:r w:rsidR="00F934C1" w:rsidRPr="00BB4B6E">
        <w:rPr>
          <w:i/>
          <w:noProof/>
          <w:color w:val="000000" w:themeColor="text1"/>
        </w:rPr>
        <w:t>Garden Cress</w:t>
      </w:r>
      <w:r w:rsidR="00F934C1" w:rsidRPr="00BB4B6E">
        <w:rPr>
          <w:noProof/>
          <w:color w:val="000000" w:themeColor="text1"/>
        </w:rPr>
        <w:t xml:space="preserve"> and </w:t>
      </w:r>
      <w:r w:rsidR="00F934C1" w:rsidRPr="00BB4B6E">
        <w:rPr>
          <w:i/>
          <w:noProof/>
          <w:color w:val="000000" w:themeColor="text1"/>
        </w:rPr>
        <w:t>Sweet Basil.</w:t>
      </w:r>
      <w:r w:rsidR="00F934C1" w:rsidRPr="00BB4B6E">
        <w:rPr>
          <w:i/>
          <w:iCs/>
          <w:noProof/>
          <w:color w:val="000000" w:themeColor="text1"/>
        </w:rPr>
        <w:t>Chemical and Biological Technologies in Agriculture</w:t>
      </w:r>
      <w:r w:rsidR="00F934C1" w:rsidRPr="00BB4B6E">
        <w:rPr>
          <w:noProof/>
          <w:color w:val="000000" w:themeColor="text1"/>
        </w:rPr>
        <w:t xml:space="preserve">. </w:t>
      </w:r>
      <w:r w:rsidR="00F934C1" w:rsidRPr="00BB4B6E">
        <w:rPr>
          <w:iCs/>
          <w:noProof/>
          <w:color w:val="000000" w:themeColor="text1"/>
        </w:rPr>
        <w:t>6</w:t>
      </w:r>
      <w:r w:rsidR="00F934C1" w:rsidRPr="00BB4B6E">
        <w:rPr>
          <w:noProof/>
          <w:color w:val="000000" w:themeColor="text1"/>
        </w:rPr>
        <w:t>(25): 12–19.</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Montazeri, L., Javadpour, J., Bon</w:t>
      </w:r>
      <w:r>
        <w:rPr>
          <w:noProof/>
          <w:color w:val="000000" w:themeColor="text1"/>
        </w:rPr>
        <w:t>arkdar, S., Shokrgozar, M. L.</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Javadian, S. (2010). Hydrothermal Synthesis and Characterization of Hydroxyapatite and Fluoro-hydroxyapatote Nano-size Powders. </w:t>
      </w:r>
      <w:r w:rsidRPr="00BB4B6E">
        <w:rPr>
          <w:i/>
          <w:iCs/>
          <w:noProof/>
          <w:color w:val="000000" w:themeColor="text1"/>
        </w:rPr>
        <w:t>Biomedical Materials.</w:t>
      </w:r>
      <w:r w:rsidRPr="00BB4B6E">
        <w:rPr>
          <w:iCs/>
          <w:noProof/>
          <w:color w:val="000000" w:themeColor="text1"/>
        </w:rPr>
        <w:t>5</w:t>
      </w:r>
      <w:r w:rsidRPr="00BB4B6E">
        <w:rPr>
          <w:noProof/>
          <w:color w:val="000000" w:themeColor="text1"/>
        </w:rPr>
        <w:t>: 7-10.</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Muhammad, I., Shahid, U.</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Mahmoo, D. (2019). Nanofertilization to Enhance Nutrient Use Efficiency and Productivity of Vegetable Plants. </w:t>
      </w:r>
      <w:r w:rsidRPr="00BB4B6E">
        <w:rPr>
          <w:i/>
          <w:iCs/>
          <w:noProof/>
          <w:color w:val="000000" w:themeColor="text1"/>
        </w:rPr>
        <w:t>Environmental Science and Pollution Research.</w:t>
      </w:r>
      <w:r w:rsidRPr="00BB4B6E">
        <w:rPr>
          <w:iCs/>
          <w:noProof/>
          <w:color w:val="000000" w:themeColor="text1"/>
        </w:rPr>
        <w:t>27</w:t>
      </w:r>
      <w:r w:rsidRPr="00BB4B6E">
        <w:rPr>
          <w:noProof/>
          <w:color w:val="000000" w:themeColor="text1"/>
        </w:rPr>
        <w:t>: 473-505.</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Musico, Y.. F., Maria, L. P. D., Catherine, M. S. </w:t>
      </w:r>
      <w:r w:rsidR="002D066D">
        <w:rPr>
          <w:noProof/>
          <w:color w:val="000000" w:themeColor="text1"/>
        </w:rPr>
        <w:t>and</w:t>
      </w:r>
      <w:r w:rsidRPr="00BB4B6E">
        <w:rPr>
          <w:noProof/>
          <w:color w:val="000000" w:themeColor="text1"/>
        </w:rPr>
        <w:t xml:space="preserve"> Debora, F. R. (2013). ‘Improved Removal of Pb</w:t>
      </w:r>
      <w:r w:rsidRPr="00BB4B6E">
        <w:rPr>
          <w:noProof/>
          <w:color w:val="000000" w:themeColor="text1"/>
          <w:vertAlign w:val="superscript"/>
        </w:rPr>
        <w:t>2+</w:t>
      </w:r>
      <w:r>
        <w:rPr>
          <w:noProof/>
          <w:color w:val="000000" w:themeColor="text1"/>
        </w:rPr>
        <w:t xml:space="preserve"> from Water using a Polymer Based Grapheme Oxide N</w:t>
      </w:r>
      <w:r w:rsidRPr="00BB4B6E">
        <w:rPr>
          <w:noProof/>
          <w:color w:val="000000" w:themeColor="text1"/>
        </w:rPr>
        <w:t xml:space="preserve">ano-composite’. </w:t>
      </w:r>
      <w:r w:rsidRPr="00BB4B6E">
        <w:rPr>
          <w:i/>
          <w:iCs/>
          <w:noProof/>
          <w:color w:val="000000" w:themeColor="text1"/>
        </w:rPr>
        <w:t>Journal of Material Chemistry.10</w:t>
      </w:r>
      <w:r w:rsidRPr="00BB4B6E">
        <w:rPr>
          <w:noProof/>
          <w:color w:val="000000" w:themeColor="text1"/>
        </w:rPr>
        <w:t>: 10–39.</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Naeem, A., Saifullah, A., Zia-u</w:t>
      </w:r>
      <w:r>
        <w:rPr>
          <w:noProof/>
          <w:color w:val="000000" w:themeColor="text1"/>
        </w:rPr>
        <w:t xml:space="preserve">r-R., M., Aktar, T.; Zia, M. H. </w:t>
      </w:r>
      <w:r w:rsidR="002D066D">
        <w:rPr>
          <w:noProof/>
          <w:color w:val="000000" w:themeColor="text1"/>
        </w:rPr>
        <w:t>and</w:t>
      </w:r>
      <w:r w:rsidRPr="00BB4B6E">
        <w:rPr>
          <w:noProof/>
          <w:color w:val="000000" w:themeColor="text1"/>
        </w:rPr>
        <w:t xml:space="preserve"> Aslam, M. (2018). Silicon Nutrition Lowers Cd Content of Wheat Cultivars by Regulating Transpiration Rate and Activity of Antioxidant Enzymes. </w:t>
      </w:r>
      <w:r w:rsidRPr="00BB4B6E">
        <w:rPr>
          <w:i/>
          <w:iCs/>
          <w:noProof/>
          <w:color w:val="000000" w:themeColor="text1"/>
        </w:rPr>
        <w:t>Environmental Pollution</w:t>
      </w:r>
      <w:r w:rsidRPr="00BB4B6E">
        <w:rPr>
          <w:noProof/>
          <w:color w:val="000000" w:themeColor="text1"/>
        </w:rPr>
        <w:t xml:space="preserve">. </w:t>
      </w:r>
      <w:r w:rsidRPr="00BB4B6E">
        <w:rPr>
          <w:iCs/>
          <w:noProof/>
          <w:color w:val="000000" w:themeColor="text1"/>
        </w:rPr>
        <w:t>242</w:t>
      </w:r>
      <w:r w:rsidRPr="00BB4B6E">
        <w:rPr>
          <w:noProof/>
          <w:color w:val="000000" w:themeColor="text1"/>
        </w:rPr>
        <w:t>: 126–135.</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Ngorwe, E</w:t>
      </w:r>
      <w:r>
        <w:rPr>
          <w:noProof/>
          <w:color w:val="000000" w:themeColor="text1"/>
        </w:rPr>
        <w:t>. N., Nyambaka, H., Murungi, J.</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Tabitha., O. (2014). Effects of Physicochemical Properties on Uptake of Pb and Cd in Tobacco Grown in Medially Polluted Soils. </w:t>
      </w:r>
      <w:r w:rsidRPr="00BB4B6E">
        <w:rPr>
          <w:i/>
          <w:iCs/>
          <w:noProof/>
          <w:color w:val="000000" w:themeColor="text1"/>
        </w:rPr>
        <w:t>The International Journal of Science and Technology.</w:t>
      </w:r>
      <w:r w:rsidRPr="00BB4B6E">
        <w:rPr>
          <w:iCs/>
          <w:noProof/>
          <w:color w:val="000000" w:themeColor="text1"/>
        </w:rPr>
        <w:t>2</w:t>
      </w:r>
      <w:r w:rsidRPr="00BB4B6E">
        <w:rPr>
          <w:noProof/>
          <w:color w:val="000000" w:themeColor="text1"/>
        </w:rPr>
        <w:t>(8): 8–12.</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Nilw</w:t>
      </w:r>
      <w:r>
        <w:rPr>
          <w:noProof/>
          <w:color w:val="000000" w:themeColor="text1"/>
        </w:rPr>
        <w:t>ala, K., Nadesh, M., Imalka, M.</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Veranja, K. (2011). A Green Slow Release Fertilizer Composition Based on Urea Modified Hydroxyapatite Nano-particles Encapsulated Wood. </w:t>
      </w:r>
      <w:r w:rsidRPr="00BB4B6E">
        <w:rPr>
          <w:i/>
          <w:iCs/>
          <w:noProof/>
          <w:color w:val="000000" w:themeColor="text1"/>
        </w:rPr>
        <w:t>Current Science.</w:t>
      </w:r>
      <w:r w:rsidRPr="00BB4B6E">
        <w:rPr>
          <w:iCs/>
          <w:noProof/>
          <w:color w:val="000000" w:themeColor="text1"/>
        </w:rPr>
        <w:t>101</w:t>
      </w:r>
      <w:r w:rsidRPr="00BB4B6E">
        <w:rPr>
          <w:noProof/>
          <w:color w:val="000000" w:themeColor="text1"/>
        </w:rPr>
        <w:t>(2): 1–8.</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Piao,</w:t>
      </w:r>
      <w:r>
        <w:rPr>
          <w:noProof/>
          <w:color w:val="000000" w:themeColor="text1"/>
        </w:rPr>
        <w:t xml:space="preserve"> X., Huang, D. L., Guang, M. Z.</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Cui, L. (2012). Adsorption of Pb</w:t>
      </w:r>
      <w:r w:rsidRPr="00BB4B6E">
        <w:rPr>
          <w:noProof/>
          <w:color w:val="000000" w:themeColor="text1"/>
          <w:vertAlign w:val="superscript"/>
        </w:rPr>
        <w:t>2+</w:t>
      </w:r>
      <w:r>
        <w:rPr>
          <w:noProof/>
          <w:color w:val="000000" w:themeColor="text1"/>
        </w:rPr>
        <w:t xml:space="preserve"> by Iron Oxide Nano-particles Immobilized </w:t>
      </w:r>
      <w:r>
        <w:rPr>
          <w:i/>
          <w:noProof/>
          <w:color w:val="000000" w:themeColor="text1"/>
        </w:rPr>
        <w:t>Phanerochaete C</w:t>
      </w:r>
      <w:r w:rsidRPr="00BB4B6E">
        <w:rPr>
          <w:i/>
          <w:noProof/>
          <w:color w:val="000000" w:themeColor="text1"/>
        </w:rPr>
        <w:t>hrysosporium</w:t>
      </w:r>
      <w:r>
        <w:rPr>
          <w:noProof/>
          <w:color w:val="000000" w:themeColor="text1"/>
        </w:rPr>
        <w:t>: Equillibrium, Kinetic, Thermodynamic and Mechanisms A</w:t>
      </w:r>
      <w:r w:rsidRPr="00BB4B6E">
        <w:rPr>
          <w:noProof/>
          <w:color w:val="000000" w:themeColor="text1"/>
        </w:rPr>
        <w:t>nalysis.</w:t>
      </w:r>
      <w:r w:rsidRPr="00BB4B6E">
        <w:rPr>
          <w:i/>
          <w:noProof/>
          <w:color w:val="000000" w:themeColor="text1"/>
        </w:rPr>
        <w:t xml:space="preserve"> Chemical Engineering Journal.</w:t>
      </w:r>
      <w:r w:rsidRPr="00BB4B6E">
        <w:rPr>
          <w:noProof/>
          <w:color w:val="000000" w:themeColor="text1"/>
        </w:rPr>
        <w:t xml:space="preserve"> 203: 423 - 431.</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Pramod, M., Dhoke, S. K.</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Khanna, A. S. (2013). Effect of Nano-Zinc Oxide Particle Suspensions on Growth of Mung (</w:t>
      </w:r>
      <w:r w:rsidRPr="00BB4B6E">
        <w:rPr>
          <w:i/>
          <w:noProof/>
          <w:color w:val="000000" w:themeColor="text1"/>
        </w:rPr>
        <w:t>Vigna radiata</w:t>
      </w:r>
      <w:r w:rsidRPr="00BB4B6E">
        <w:rPr>
          <w:noProof/>
          <w:color w:val="000000" w:themeColor="text1"/>
        </w:rPr>
        <w:t>) and Gram (</w:t>
      </w:r>
      <w:r w:rsidRPr="00BB4B6E">
        <w:rPr>
          <w:i/>
          <w:noProof/>
          <w:color w:val="000000" w:themeColor="text1"/>
        </w:rPr>
        <w:t>Cicer arietinum</w:t>
      </w:r>
      <w:r>
        <w:rPr>
          <w:noProof/>
          <w:color w:val="000000" w:themeColor="text1"/>
        </w:rPr>
        <w:t>) Seedlings U</w:t>
      </w:r>
      <w:r w:rsidRPr="00BB4B6E">
        <w:rPr>
          <w:noProof/>
          <w:color w:val="000000" w:themeColor="text1"/>
        </w:rPr>
        <w:t xml:space="preserve">sing Plant Agar Method. </w:t>
      </w:r>
      <w:r w:rsidRPr="00BB4B6E">
        <w:rPr>
          <w:i/>
          <w:iCs/>
          <w:noProof/>
          <w:color w:val="000000" w:themeColor="text1"/>
        </w:rPr>
        <w:t>Journal of Nanotechnology.</w:t>
      </w:r>
      <w:r w:rsidRPr="00BB4B6E">
        <w:rPr>
          <w:iCs/>
          <w:noProof/>
          <w:color w:val="000000" w:themeColor="text1"/>
        </w:rPr>
        <w:t>4</w:t>
      </w:r>
      <w:r w:rsidRPr="00BB4B6E">
        <w:rPr>
          <w:noProof/>
          <w:color w:val="000000" w:themeColor="text1"/>
        </w:rPr>
        <w:t>: 25-30.</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Prasad, T. N., Sudhakar, P., Sajanlal, P. R., Sreenivasulu, Y., Latha, P., Munaswamy, Y., Ra</w:t>
      </w:r>
      <w:r>
        <w:rPr>
          <w:noProof/>
          <w:color w:val="000000" w:themeColor="text1"/>
        </w:rPr>
        <w:t>ja Reddy, K., Sreeprasad, T. S.</w:t>
      </w:r>
      <w:r w:rsidR="009702DC">
        <w:rPr>
          <w:noProof/>
          <w:color w:val="000000" w:themeColor="text1"/>
        </w:rPr>
        <w:t xml:space="preserve"> </w:t>
      </w:r>
      <w:r w:rsidR="002D066D">
        <w:rPr>
          <w:noProof/>
          <w:color w:val="000000" w:themeColor="text1"/>
        </w:rPr>
        <w:t>and</w:t>
      </w:r>
      <w:r>
        <w:rPr>
          <w:noProof/>
          <w:color w:val="000000" w:themeColor="text1"/>
        </w:rPr>
        <w:t xml:space="preserve"> Pradeep, T. (2012). Effect of Nano-scale ZnO Particles on the G</w:t>
      </w:r>
      <w:r w:rsidRPr="00BB4B6E">
        <w:rPr>
          <w:noProof/>
          <w:color w:val="000000" w:themeColor="text1"/>
        </w:rPr>
        <w:t>erminati</w:t>
      </w:r>
      <w:r>
        <w:rPr>
          <w:noProof/>
          <w:color w:val="000000" w:themeColor="text1"/>
        </w:rPr>
        <w:t>on, Growth and Y</w:t>
      </w:r>
      <w:r w:rsidRPr="00BB4B6E">
        <w:rPr>
          <w:noProof/>
          <w:color w:val="000000" w:themeColor="text1"/>
        </w:rPr>
        <w:t xml:space="preserve">ield of </w:t>
      </w:r>
      <w:r>
        <w:rPr>
          <w:noProof/>
          <w:color w:val="000000" w:themeColor="text1"/>
        </w:rPr>
        <w:t>P</w:t>
      </w:r>
      <w:r w:rsidRPr="00BB4B6E">
        <w:rPr>
          <w:noProof/>
          <w:color w:val="000000" w:themeColor="text1"/>
        </w:rPr>
        <w:t xml:space="preserve">eanut. </w:t>
      </w:r>
      <w:r w:rsidRPr="00BB4B6E">
        <w:rPr>
          <w:i/>
          <w:iCs/>
          <w:noProof/>
          <w:color w:val="000000" w:themeColor="text1"/>
        </w:rPr>
        <w:t>Journal of Plant Nutrition.</w:t>
      </w:r>
      <w:r w:rsidRPr="00BB4B6E">
        <w:rPr>
          <w:iCs/>
          <w:noProof/>
          <w:color w:val="000000" w:themeColor="text1"/>
        </w:rPr>
        <w:t>35</w:t>
      </w:r>
      <w:r w:rsidRPr="00BB4B6E">
        <w:rPr>
          <w:noProof/>
          <w:color w:val="000000" w:themeColor="text1"/>
        </w:rPr>
        <w:t>(6): 905-927.</w:t>
      </w:r>
    </w:p>
    <w:p w:rsidR="00F934C1" w:rsidRDefault="00F934C1" w:rsidP="00F934C1">
      <w:pPr>
        <w:widowControl w:val="0"/>
        <w:spacing w:after="200" w:line="240" w:lineRule="auto"/>
        <w:ind w:left="480" w:hanging="480"/>
        <w:rPr>
          <w:noProof/>
          <w:color w:val="000000" w:themeColor="text1"/>
        </w:rPr>
      </w:pPr>
      <w:r w:rsidRPr="00BB4B6E">
        <w:rPr>
          <w:noProof/>
          <w:color w:val="000000" w:themeColor="text1"/>
        </w:rPr>
        <w:lastRenderedPageBreak/>
        <w:t xml:space="preserve">Qi, L., Lixu, H., Guangy, T., Zhihui, Y. W., Chun, Y., J. T. </w:t>
      </w:r>
      <w:r w:rsidR="002D066D">
        <w:rPr>
          <w:noProof/>
          <w:color w:val="000000" w:themeColor="text1"/>
        </w:rPr>
        <w:t>and</w:t>
      </w:r>
      <w:r w:rsidRPr="00BB4B6E">
        <w:rPr>
          <w:noProof/>
          <w:color w:val="000000" w:themeColor="text1"/>
        </w:rPr>
        <w:t xml:space="preserve"> Wun,</w:t>
      </w:r>
      <w:r>
        <w:rPr>
          <w:noProof/>
          <w:color w:val="000000" w:themeColor="text1"/>
        </w:rPr>
        <w:t xml:space="preserve"> C. H. W. (2020). Simultaneous I</w:t>
      </w:r>
      <w:r w:rsidRPr="00BB4B6E">
        <w:rPr>
          <w:noProof/>
          <w:color w:val="000000" w:themeColor="text1"/>
        </w:rPr>
        <w:t>mmo</w:t>
      </w:r>
      <w:r>
        <w:rPr>
          <w:noProof/>
          <w:color w:val="000000" w:themeColor="text1"/>
        </w:rPr>
        <w:t>bilization of Pb, Cd and As in Soil by Hybrid Iron-, Sulfate- and P</w:t>
      </w:r>
      <w:r w:rsidRPr="00BB4B6E">
        <w:rPr>
          <w:noProof/>
          <w:color w:val="000000" w:themeColor="text1"/>
        </w:rPr>
        <w:t>hosphate-ba</w:t>
      </w:r>
      <w:r>
        <w:rPr>
          <w:noProof/>
          <w:color w:val="000000" w:themeColor="text1"/>
        </w:rPr>
        <w:t>sed B</w:t>
      </w:r>
      <w:r w:rsidRPr="00BB4B6E">
        <w:rPr>
          <w:noProof/>
          <w:color w:val="000000" w:themeColor="text1"/>
        </w:rPr>
        <w:t xml:space="preserve">ionano-composite: Effectiveness, long-term stability and bio-availablity/bio-accessibility evaluation. </w:t>
      </w:r>
      <w:r w:rsidRPr="00BB4B6E">
        <w:rPr>
          <w:i/>
          <w:iCs/>
          <w:noProof/>
          <w:color w:val="000000" w:themeColor="text1"/>
        </w:rPr>
        <w:t>Chemosphere</w:t>
      </w:r>
      <w:r w:rsidRPr="00BB4B6E">
        <w:rPr>
          <w:noProof/>
          <w:color w:val="000000" w:themeColor="text1"/>
        </w:rPr>
        <w:t xml:space="preserve">. </w:t>
      </w:r>
      <w:r w:rsidRPr="00BB4B6E">
        <w:rPr>
          <w:iCs/>
          <w:noProof/>
          <w:color w:val="000000" w:themeColor="text1"/>
        </w:rPr>
        <w:t>10</w:t>
      </w:r>
      <w:r w:rsidRPr="00BB4B6E">
        <w:rPr>
          <w:noProof/>
          <w:color w:val="000000" w:themeColor="text1"/>
        </w:rPr>
        <w:t>: 10–19.</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Raliya, R., Biswas, P. </w:t>
      </w:r>
      <w:r w:rsidR="002D066D">
        <w:rPr>
          <w:noProof/>
          <w:color w:val="000000" w:themeColor="text1"/>
        </w:rPr>
        <w:t>and</w:t>
      </w:r>
      <w:r w:rsidRPr="00BB4B6E">
        <w:rPr>
          <w:noProof/>
          <w:color w:val="000000" w:themeColor="text1"/>
        </w:rPr>
        <w:t xml:space="preserve"> Ta</w:t>
      </w:r>
      <w:r>
        <w:rPr>
          <w:noProof/>
          <w:color w:val="000000" w:themeColor="text1"/>
        </w:rPr>
        <w:t>rafdar, J. C. (2015). Titanium Oxide Nano-particle Bio-synthesis and its Physiological E</w:t>
      </w:r>
      <w:r w:rsidRPr="00BB4B6E">
        <w:rPr>
          <w:noProof/>
          <w:color w:val="000000" w:themeColor="text1"/>
        </w:rPr>
        <w:t xml:space="preserve">ffect on </w:t>
      </w:r>
      <w:r>
        <w:rPr>
          <w:noProof/>
          <w:color w:val="000000" w:themeColor="text1"/>
        </w:rPr>
        <w:t>Mung B</w:t>
      </w:r>
      <w:r w:rsidRPr="00BB4B6E">
        <w:rPr>
          <w:noProof/>
          <w:color w:val="000000" w:themeColor="text1"/>
        </w:rPr>
        <w:t>ean (</w:t>
      </w:r>
      <w:r w:rsidRPr="00BB4B6E">
        <w:rPr>
          <w:i/>
          <w:noProof/>
          <w:color w:val="000000" w:themeColor="text1"/>
        </w:rPr>
        <w:t>Vigna radiata L.</w:t>
      </w:r>
      <w:r w:rsidRPr="00BB4B6E">
        <w:rPr>
          <w:noProof/>
          <w:color w:val="000000" w:themeColor="text1"/>
        </w:rPr>
        <w:t xml:space="preserve">). </w:t>
      </w:r>
      <w:r w:rsidRPr="00BB4B6E">
        <w:rPr>
          <w:i/>
          <w:iCs/>
          <w:noProof/>
          <w:color w:val="000000" w:themeColor="text1"/>
        </w:rPr>
        <w:t>Biotechnology Reports.</w:t>
      </w:r>
      <w:r w:rsidRPr="00BB4B6E">
        <w:rPr>
          <w:iCs/>
          <w:noProof/>
          <w:color w:val="000000" w:themeColor="text1"/>
        </w:rPr>
        <w:t>5</w:t>
      </w:r>
      <w:r w:rsidRPr="00BB4B6E">
        <w:rPr>
          <w:noProof/>
          <w:color w:val="000000" w:themeColor="text1"/>
        </w:rPr>
        <w:t>: 22-26.</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Rameshaiah, G. N., Biswas, P. J. </w:t>
      </w:r>
      <w:r w:rsidR="002D066D">
        <w:rPr>
          <w:noProof/>
          <w:color w:val="000000" w:themeColor="text1"/>
        </w:rPr>
        <w:t>and</w:t>
      </w:r>
      <w:r w:rsidRPr="00BB4B6E">
        <w:rPr>
          <w:noProof/>
          <w:color w:val="000000" w:themeColor="text1"/>
        </w:rPr>
        <w:t xml:space="preserve"> pallavi, </w:t>
      </w:r>
      <w:r>
        <w:rPr>
          <w:noProof/>
          <w:color w:val="000000" w:themeColor="text1"/>
        </w:rPr>
        <w:t>S. (2015). Nanofertilizers and N</w:t>
      </w:r>
      <w:r w:rsidRPr="00BB4B6E">
        <w:rPr>
          <w:noProof/>
          <w:color w:val="000000" w:themeColor="text1"/>
        </w:rPr>
        <w:t xml:space="preserve">anosensors–An attempt for developing smart agriculture. </w:t>
      </w:r>
      <w:r w:rsidRPr="00BB4B6E">
        <w:rPr>
          <w:i/>
          <w:noProof/>
          <w:color w:val="000000" w:themeColor="text1"/>
        </w:rPr>
        <w:t xml:space="preserve">International </w:t>
      </w:r>
      <w:r w:rsidRPr="00BB4B6E">
        <w:rPr>
          <w:i/>
          <w:iCs/>
          <w:noProof/>
          <w:color w:val="000000" w:themeColor="text1"/>
        </w:rPr>
        <w:t>Journal of Engineering Research and General Science</w:t>
      </w:r>
      <w:r w:rsidRPr="00BB4B6E">
        <w:rPr>
          <w:noProof/>
          <w:color w:val="000000" w:themeColor="text1"/>
        </w:rPr>
        <w:t xml:space="preserve">. </w:t>
      </w:r>
      <w:r w:rsidRPr="00BB4B6E">
        <w:rPr>
          <w:iCs/>
          <w:noProof/>
          <w:color w:val="000000" w:themeColor="text1"/>
        </w:rPr>
        <w:t>3</w:t>
      </w:r>
      <w:r w:rsidRPr="00BB4B6E">
        <w:rPr>
          <w:noProof/>
          <w:color w:val="000000" w:themeColor="text1"/>
        </w:rPr>
        <w:t>(1): 314–320.</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Rezvani, N., Sorooshzadeh, A. </w:t>
      </w:r>
      <w:r w:rsidR="002D066D">
        <w:rPr>
          <w:noProof/>
          <w:color w:val="000000" w:themeColor="text1"/>
        </w:rPr>
        <w:t>and</w:t>
      </w:r>
      <w:r>
        <w:rPr>
          <w:noProof/>
          <w:color w:val="000000" w:themeColor="text1"/>
        </w:rPr>
        <w:t xml:space="preserve"> Farhadi, N. (2012). Effect of Nanosilver on Growth of Saffron in Flooding S</w:t>
      </w:r>
      <w:r w:rsidRPr="00BB4B6E">
        <w:rPr>
          <w:noProof/>
          <w:color w:val="000000" w:themeColor="text1"/>
        </w:rPr>
        <w:t xml:space="preserve">tress. </w:t>
      </w:r>
      <w:r w:rsidRPr="00BB4B6E">
        <w:rPr>
          <w:i/>
          <w:iCs/>
          <w:noProof/>
          <w:color w:val="000000" w:themeColor="text1"/>
        </w:rPr>
        <w:t>World Academic Science Engineering Technology.</w:t>
      </w:r>
      <w:r w:rsidRPr="00BB4B6E">
        <w:rPr>
          <w:iCs/>
          <w:noProof/>
          <w:color w:val="000000" w:themeColor="text1"/>
        </w:rPr>
        <w:t>1</w:t>
      </w:r>
      <w:r w:rsidRPr="00BB4B6E">
        <w:rPr>
          <w:noProof/>
          <w:color w:val="000000" w:themeColor="text1"/>
        </w:rPr>
        <w:t>: 517–522.</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Rizwan, M., Ali, Q., Farid, M., Hussain, A., Ali, S., Shakoor, M.</w:t>
      </w:r>
      <w:r>
        <w:rPr>
          <w:noProof/>
          <w:color w:val="000000" w:themeColor="text1"/>
        </w:rPr>
        <w:t xml:space="preserve"> B., Rehman, M. Z. U. </w:t>
      </w:r>
      <w:r w:rsidR="002D066D">
        <w:rPr>
          <w:noProof/>
          <w:color w:val="000000" w:themeColor="text1"/>
        </w:rPr>
        <w:t>and</w:t>
      </w:r>
      <w:r>
        <w:rPr>
          <w:noProof/>
          <w:color w:val="000000" w:themeColor="text1"/>
        </w:rPr>
        <w:t xml:space="preserve"> Asma, M. (2017). Effect of Zinc Lysine on Growth, Yield and Cd Uptake in W</w:t>
      </w:r>
      <w:r w:rsidRPr="00BB4B6E">
        <w:rPr>
          <w:noProof/>
          <w:color w:val="000000" w:themeColor="text1"/>
        </w:rPr>
        <w:t>heat (</w:t>
      </w:r>
      <w:r w:rsidRPr="00BB4B6E">
        <w:rPr>
          <w:i/>
          <w:noProof/>
          <w:color w:val="000000" w:themeColor="text1"/>
        </w:rPr>
        <w:t>Triticum aestivum L.</w:t>
      </w:r>
      <w:r>
        <w:rPr>
          <w:noProof/>
          <w:color w:val="000000" w:themeColor="text1"/>
        </w:rPr>
        <w:t>) and Health Risk A</w:t>
      </w:r>
      <w:r w:rsidRPr="00BB4B6E">
        <w:rPr>
          <w:noProof/>
          <w:color w:val="000000" w:themeColor="text1"/>
        </w:rPr>
        <w:t xml:space="preserve">ssessment. </w:t>
      </w:r>
      <w:r w:rsidRPr="00BB4B6E">
        <w:rPr>
          <w:i/>
          <w:iCs/>
          <w:noProof/>
          <w:color w:val="000000" w:themeColor="text1"/>
        </w:rPr>
        <w:t>Chemosphere</w:t>
      </w:r>
      <w:r w:rsidRPr="00BB4B6E">
        <w:rPr>
          <w:noProof/>
          <w:color w:val="000000" w:themeColor="text1"/>
        </w:rPr>
        <w:t xml:space="preserve">. </w:t>
      </w:r>
      <w:r w:rsidRPr="00BB4B6E">
        <w:rPr>
          <w:iCs/>
          <w:noProof/>
          <w:color w:val="000000" w:themeColor="text1"/>
        </w:rPr>
        <w:t>187</w:t>
      </w:r>
      <w:r w:rsidRPr="00BB4B6E">
        <w:rPr>
          <w:noProof/>
          <w:color w:val="000000" w:themeColor="text1"/>
        </w:rPr>
        <w:t>: 35–42.</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Rizwan, M., Ali, S., Alyemeni, M. N., Rehman, M. Z., Malik, S., Adrees, M.</w:t>
      </w:r>
      <w:r>
        <w:rPr>
          <w:noProof/>
          <w:color w:val="000000" w:themeColor="text1"/>
        </w:rPr>
        <w:t xml:space="preserve">, Qayyum, M. F., Alamri, S. A. </w:t>
      </w:r>
      <w:r w:rsidR="002D066D">
        <w:rPr>
          <w:noProof/>
          <w:color w:val="000000" w:themeColor="text1"/>
        </w:rPr>
        <w:t>and</w:t>
      </w:r>
      <w:r>
        <w:rPr>
          <w:noProof/>
          <w:color w:val="000000" w:themeColor="text1"/>
        </w:rPr>
        <w:t xml:space="preserve"> Ahmad, P. (2019). Effect of Foliar Applications of Silicon and Titanium (IV) Oxide Nano-particles on Growth, Oxidative Stress, and Cadmium Accumulation by R</w:t>
      </w:r>
      <w:r w:rsidRPr="00BB4B6E">
        <w:rPr>
          <w:noProof/>
          <w:color w:val="000000" w:themeColor="text1"/>
        </w:rPr>
        <w:t>ice (</w:t>
      </w:r>
      <w:r w:rsidRPr="00BB4B6E">
        <w:rPr>
          <w:i/>
          <w:noProof/>
          <w:color w:val="000000" w:themeColor="text1"/>
        </w:rPr>
        <w:t>Oryza sativa</w:t>
      </w:r>
      <w:r w:rsidRPr="00BB4B6E">
        <w:rPr>
          <w:noProof/>
          <w:color w:val="000000" w:themeColor="text1"/>
        </w:rPr>
        <w:t xml:space="preserve">). </w:t>
      </w:r>
      <w:r w:rsidRPr="00BB4B6E">
        <w:rPr>
          <w:i/>
          <w:iCs/>
          <w:noProof/>
          <w:color w:val="000000" w:themeColor="text1"/>
        </w:rPr>
        <w:t>Acta Physiol. Plant.41</w:t>
      </w:r>
      <w:r w:rsidRPr="00BB4B6E">
        <w:rPr>
          <w:noProof/>
          <w:color w:val="000000" w:themeColor="text1"/>
        </w:rPr>
        <w:t>: 35-43.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Saghi A, Rashed M. H. </w:t>
      </w:r>
      <w:r w:rsidR="002D066D">
        <w:rPr>
          <w:noProof/>
          <w:color w:val="000000" w:themeColor="text1"/>
        </w:rPr>
        <w:t>and</w:t>
      </w:r>
      <w:r w:rsidRPr="00BB4B6E">
        <w:rPr>
          <w:noProof/>
          <w:color w:val="000000" w:themeColor="text1"/>
        </w:rPr>
        <w:t xml:space="preserve"> Mohassel,. M. P</w:t>
      </w:r>
      <w:r>
        <w:rPr>
          <w:noProof/>
          <w:color w:val="000000" w:themeColor="text1"/>
        </w:rPr>
        <w:t>. (2016). Phyto-remediation of Lead Contaminated S</w:t>
      </w:r>
      <w:r w:rsidRPr="00BB4B6E">
        <w:rPr>
          <w:noProof/>
          <w:color w:val="000000" w:themeColor="text1"/>
        </w:rPr>
        <w:t xml:space="preserve">oil by </w:t>
      </w:r>
      <w:r>
        <w:rPr>
          <w:i/>
          <w:noProof/>
          <w:color w:val="000000" w:themeColor="text1"/>
        </w:rPr>
        <w:t>Sinapis a</w:t>
      </w:r>
      <w:r w:rsidRPr="00BB4B6E">
        <w:rPr>
          <w:i/>
          <w:noProof/>
          <w:color w:val="000000" w:themeColor="text1"/>
        </w:rPr>
        <w:t>rvensis</w:t>
      </w:r>
      <w:r w:rsidRPr="00BB4B6E">
        <w:rPr>
          <w:noProof/>
          <w:color w:val="000000" w:themeColor="text1"/>
        </w:rPr>
        <w:t xml:space="preserve"> and </w:t>
      </w:r>
      <w:r w:rsidRPr="00BB4B6E">
        <w:rPr>
          <w:i/>
          <w:noProof/>
          <w:color w:val="000000" w:themeColor="text1"/>
        </w:rPr>
        <w:t>Rapistrum rugosum</w:t>
      </w:r>
      <w:r w:rsidRPr="00BB4B6E">
        <w:rPr>
          <w:noProof/>
          <w:color w:val="000000" w:themeColor="text1"/>
        </w:rPr>
        <w:t xml:space="preserve">. </w:t>
      </w:r>
      <w:r w:rsidRPr="00BB4B6E">
        <w:rPr>
          <w:i/>
          <w:iCs/>
          <w:noProof/>
          <w:color w:val="000000" w:themeColor="text1"/>
        </w:rPr>
        <w:t>International Journal Phytoremediation</w:t>
      </w:r>
      <w:r w:rsidRPr="00BB4B6E">
        <w:rPr>
          <w:noProof/>
          <w:color w:val="000000" w:themeColor="text1"/>
        </w:rPr>
        <w:t xml:space="preserve">. </w:t>
      </w:r>
      <w:r w:rsidRPr="00BB4B6E">
        <w:rPr>
          <w:iCs/>
          <w:noProof/>
          <w:color w:val="000000" w:themeColor="text1"/>
        </w:rPr>
        <w:t>4</w:t>
      </w:r>
      <w:r w:rsidRPr="00BB4B6E">
        <w:rPr>
          <w:noProof/>
          <w:color w:val="000000" w:themeColor="text1"/>
        </w:rPr>
        <w:t>: 387–392.</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Saifullah, A., Javed, H., Rengel, Z., Naeem, A. </w:t>
      </w:r>
      <w:r w:rsidR="002D066D">
        <w:rPr>
          <w:noProof/>
          <w:color w:val="000000" w:themeColor="text1"/>
        </w:rPr>
        <w:t>and</w:t>
      </w:r>
      <w:r w:rsidRPr="00BB4B6E">
        <w:rPr>
          <w:noProof/>
          <w:color w:val="000000" w:themeColor="text1"/>
        </w:rPr>
        <w:t xml:space="preserve"> Dahlawi, S. (2016). Timing of Foliar Zinc Application Plays a Vital Role in Minimizing Cadmium Accumulation in Wheat Growth. </w:t>
      </w:r>
      <w:r w:rsidRPr="00BB4B6E">
        <w:rPr>
          <w:i/>
          <w:iCs/>
          <w:noProof/>
          <w:color w:val="000000" w:themeColor="text1"/>
        </w:rPr>
        <w:t>Environmental Science Pollution Resource International</w:t>
      </w:r>
      <w:r w:rsidRPr="00BB4B6E">
        <w:rPr>
          <w:noProof/>
          <w:color w:val="000000" w:themeColor="text1"/>
        </w:rPr>
        <w:t xml:space="preserve">. </w:t>
      </w:r>
      <w:r w:rsidRPr="00BB4B6E">
        <w:rPr>
          <w:iCs/>
          <w:noProof/>
          <w:color w:val="000000" w:themeColor="text1"/>
        </w:rPr>
        <w:t>23</w:t>
      </w:r>
      <w:r w:rsidRPr="00BB4B6E">
        <w:rPr>
          <w:noProof/>
          <w:color w:val="000000" w:themeColor="text1"/>
        </w:rPr>
        <w:t>: 16432–16439.</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Sez</w:t>
      </w:r>
      <w:r>
        <w:rPr>
          <w:noProof/>
          <w:color w:val="000000" w:themeColor="text1"/>
        </w:rPr>
        <w:t>gin, N., Farhan, M., Fatima, A.</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Awan, N. (2019). Comparative Analysis of Cr and Cd in Various Parts of Wheat and Maize. </w:t>
      </w:r>
      <w:r w:rsidRPr="00BB4B6E">
        <w:rPr>
          <w:i/>
          <w:iCs/>
          <w:noProof/>
          <w:color w:val="000000" w:themeColor="text1"/>
        </w:rPr>
        <w:t>Pollution Journal of Environmental Studies</w:t>
      </w:r>
      <w:r w:rsidRPr="00BB4B6E">
        <w:rPr>
          <w:noProof/>
          <w:color w:val="000000" w:themeColor="text1"/>
        </w:rPr>
        <w:t xml:space="preserve">. </w:t>
      </w:r>
      <w:r w:rsidRPr="00BB4B6E">
        <w:rPr>
          <w:iCs/>
          <w:noProof/>
          <w:color w:val="000000" w:themeColor="text1"/>
        </w:rPr>
        <w:t>28</w:t>
      </w:r>
      <w:r w:rsidRPr="00BB4B6E">
        <w:rPr>
          <w:noProof/>
          <w:color w:val="000000" w:themeColor="text1"/>
        </w:rPr>
        <w:t>: 1561–1566.</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Shalaby, T. A., Alshaal, T., Bayoumi, Y., Abdalla, N., Taha, H., Shehata, S., Ame</w:t>
      </w:r>
      <w:r>
        <w:rPr>
          <w:noProof/>
          <w:color w:val="000000" w:themeColor="text1"/>
        </w:rPr>
        <w:t xml:space="preserve">r, M. </w:t>
      </w:r>
      <w:r w:rsidR="002D066D">
        <w:rPr>
          <w:noProof/>
          <w:color w:val="000000" w:themeColor="text1"/>
        </w:rPr>
        <w:t>and</w:t>
      </w:r>
      <w:r>
        <w:rPr>
          <w:noProof/>
          <w:color w:val="000000" w:themeColor="text1"/>
        </w:rPr>
        <w:t xml:space="preserve"> Domokos-Szabolcsy, É. H. (2016). Nano-particles, Soils, Plants and S</w:t>
      </w:r>
      <w:r w:rsidRPr="00BB4B6E">
        <w:rPr>
          <w:noProof/>
          <w:color w:val="000000" w:themeColor="text1"/>
        </w:rPr>
        <w:t>us</w:t>
      </w:r>
      <w:r>
        <w:rPr>
          <w:noProof/>
          <w:color w:val="000000" w:themeColor="text1"/>
        </w:rPr>
        <w:t>tainable A</w:t>
      </w:r>
      <w:r w:rsidRPr="00BB4B6E">
        <w:rPr>
          <w:noProof/>
          <w:color w:val="000000" w:themeColor="text1"/>
        </w:rPr>
        <w:t xml:space="preserve">griculture. In: Shivendu R., Nandita D., Eric L., editors. </w:t>
      </w:r>
      <w:r w:rsidRPr="00BB4B6E">
        <w:rPr>
          <w:i/>
          <w:iCs/>
          <w:noProof/>
          <w:color w:val="000000" w:themeColor="text1"/>
        </w:rPr>
        <w:t>Nanoscience in Food and Agriculture</w:t>
      </w:r>
      <w:r w:rsidRPr="00BB4B6E">
        <w:rPr>
          <w:noProof/>
          <w:color w:val="000000" w:themeColor="text1"/>
        </w:rPr>
        <w:t xml:space="preserve">. </w:t>
      </w:r>
      <w:r w:rsidRPr="00BB4B6E">
        <w:rPr>
          <w:iCs/>
          <w:noProof/>
          <w:color w:val="000000" w:themeColor="text1"/>
        </w:rPr>
        <w:t>1</w:t>
      </w:r>
      <w:r w:rsidRPr="00BB4B6E">
        <w:rPr>
          <w:noProof/>
          <w:color w:val="000000" w:themeColor="text1"/>
        </w:rPr>
        <w:t>: 283–312.</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Shojaei, T. R., Salleh, M. A., Mobli, H., Tabatabaei, M</w:t>
      </w:r>
      <w:r>
        <w:rPr>
          <w:noProof/>
          <w:color w:val="000000" w:themeColor="text1"/>
        </w:rPr>
        <w:t>., Aghbashlo, M., Rashid, S. A.</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T</w:t>
      </w:r>
      <w:r>
        <w:rPr>
          <w:noProof/>
          <w:color w:val="000000" w:themeColor="text1"/>
        </w:rPr>
        <w:t>an, T. (2019). Applications of N</w:t>
      </w:r>
      <w:r w:rsidRPr="00BB4B6E">
        <w:rPr>
          <w:noProof/>
          <w:color w:val="000000" w:themeColor="text1"/>
        </w:rPr>
        <w:t xml:space="preserve">ano-technology </w:t>
      </w:r>
      <w:r>
        <w:rPr>
          <w:noProof/>
          <w:color w:val="000000" w:themeColor="text1"/>
        </w:rPr>
        <w:t>and Carbon Nano-particles in A</w:t>
      </w:r>
      <w:r w:rsidRPr="00BB4B6E">
        <w:rPr>
          <w:noProof/>
          <w:color w:val="000000" w:themeColor="text1"/>
        </w:rPr>
        <w:t xml:space="preserve">griculture. In synthesis, technology and applications of carbon nano-materials; Suraya, A. R., Raja, N. I. R. O., Mohd, Z. H., Eds.; </w:t>
      </w:r>
      <w:r w:rsidRPr="00BB4B6E">
        <w:rPr>
          <w:i/>
          <w:noProof/>
          <w:color w:val="000000" w:themeColor="text1"/>
        </w:rPr>
        <w:t>Elsevier</w:t>
      </w:r>
      <w:r w:rsidRPr="00BB4B6E">
        <w:rPr>
          <w:noProof/>
          <w:color w:val="000000" w:themeColor="text1"/>
        </w:rPr>
        <w:t xml:space="preserve">: </w:t>
      </w:r>
      <w:r w:rsidRPr="00BB4B6E">
        <w:rPr>
          <w:iCs/>
          <w:noProof/>
          <w:color w:val="000000" w:themeColor="text1"/>
        </w:rPr>
        <w:t>214</w:t>
      </w:r>
      <w:r w:rsidRPr="00BB4B6E">
        <w:rPr>
          <w:noProof/>
          <w:color w:val="000000" w:themeColor="text1"/>
        </w:rPr>
        <w:t>: 247–277.</w:t>
      </w:r>
    </w:p>
    <w:p w:rsidR="00F934C1" w:rsidRDefault="00F934C1" w:rsidP="00F934C1">
      <w:pPr>
        <w:widowControl w:val="0"/>
        <w:spacing w:after="200" w:line="240" w:lineRule="auto"/>
        <w:ind w:left="480" w:hanging="480"/>
        <w:rPr>
          <w:noProof/>
          <w:color w:val="000000" w:themeColor="text1"/>
        </w:rPr>
      </w:pPr>
      <w:r w:rsidRPr="00BB4B6E">
        <w:rPr>
          <w:noProof/>
          <w:color w:val="000000" w:themeColor="text1"/>
        </w:rPr>
        <w:lastRenderedPageBreak/>
        <w:t xml:space="preserve">Singh, N. B, Sonal, A.,Garima, N. </w:t>
      </w:r>
      <w:r w:rsidR="002D066D">
        <w:rPr>
          <w:noProof/>
          <w:color w:val="000000" w:themeColor="text1"/>
        </w:rPr>
        <w:t>and</w:t>
      </w:r>
      <w:r w:rsidRPr="00BB4B6E">
        <w:rPr>
          <w:noProof/>
          <w:color w:val="000000" w:themeColor="text1"/>
        </w:rPr>
        <w:t xml:space="preserve"> Rachna, C. (2018). Water Purification by Using Adsorbents: The review. </w:t>
      </w:r>
      <w:r w:rsidRPr="00BB4B6E">
        <w:rPr>
          <w:i/>
          <w:noProof/>
          <w:color w:val="000000" w:themeColor="text1"/>
        </w:rPr>
        <w:t>Environmental Technology &amp; Innovation</w:t>
      </w:r>
      <w:r w:rsidRPr="00BB4B6E">
        <w:rPr>
          <w:noProof/>
          <w:color w:val="000000" w:themeColor="text1"/>
        </w:rPr>
        <w:t>. 11: 187 - 240.</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Song, U., Shin, M., Kim, Y., Lee, G., Roh, J. </w:t>
      </w:r>
      <w:r w:rsidR="002D066D">
        <w:rPr>
          <w:noProof/>
          <w:color w:val="000000" w:themeColor="text1"/>
        </w:rPr>
        <w:t>and</w:t>
      </w:r>
      <w:r>
        <w:rPr>
          <w:noProof/>
          <w:color w:val="000000" w:themeColor="text1"/>
        </w:rPr>
        <w:t xml:space="preserve"> Lee, E. J. (2013). Functional Analysis of Titanium Dioxide N</w:t>
      </w:r>
      <w:r w:rsidRPr="00BB4B6E">
        <w:rPr>
          <w:noProof/>
          <w:color w:val="000000" w:themeColor="text1"/>
        </w:rPr>
        <w:t xml:space="preserve">ano-particle </w:t>
      </w:r>
      <w:r>
        <w:rPr>
          <w:noProof/>
          <w:color w:val="000000" w:themeColor="text1"/>
        </w:rPr>
        <w:t>Toxicity in Three Plant S</w:t>
      </w:r>
      <w:r w:rsidRPr="00BB4B6E">
        <w:rPr>
          <w:noProof/>
          <w:color w:val="000000" w:themeColor="text1"/>
        </w:rPr>
        <w:t xml:space="preserve">pecies. </w:t>
      </w:r>
      <w:r w:rsidRPr="00BB4B6E">
        <w:rPr>
          <w:i/>
          <w:iCs/>
          <w:noProof/>
          <w:color w:val="000000" w:themeColor="text1"/>
        </w:rPr>
        <w:t xml:space="preserve">Biological Trace Element Research. </w:t>
      </w:r>
      <w:r w:rsidRPr="00BB4B6E">
        <w:rPr>
          <w:iCs/>
          <w:noProof/>
          <w:color w:val="000000" w:themeColor="text1"/>
        </w:rPr>
        <w:t>155</w:t>
      </w:r>
      <w:r w:rsidRPr="00BB4B6E">
        <w:rPr>
          <w:noProof/>
          <w:color w:val="000000" w:themeColor="text1"/>
        </w:rPr>
        <w:t>(1): 93-103.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Srivastava, G., Kusurkar, T. S., Roy, M., Airan, S., Sharma, </w:t>
      </w:r>
      <w:r>
        <w:rPr>
          <w:noProof/>
          <w:color w:val="000000" w:themeColor="text1"/>
        </w:rPr>
        <w:t xml:space="preserve">R. K., Singh, S. K., Sarkar, S. </w:t>
      </w:r>
      <w:r w:rsidR="002D066D">
        <w:rPr>
          <w:noProof/>
          <w:color w:val="000000" w:themeColor="text1"/>
        </w:rPr>
        <w:t>and</w:t>
      </w:r>
      <w:r>
        <w:rPr>
          <w:noProof/>
          <w:color w:val="000000" w:themeColor="text1"/>
        </w:rPr>
        <w:t xml:space="preserve"> Das, M. (2014). Iron Pyrite, a Potential Photo-voltaic Material, Increases Plant Biomass upon Seed P</w:t>
      </w:r>
      <w:r w:rsidRPr="00BB4B6E">
        <w:rPr>
          <w:noProof/>
          <w:color w:val="000000" w:themeColor="text1"/>
        </w:rPr>
        <w:t xml:space="preserve">re-treatment. </w:t>
      </w:r>
      <w:r w:rsidRPr="00BB4B6E">
        <w:rPr>
          <w:i/>
          <w:iCs/>
          <w:noProof/>
          <w:color w:val="000000" w:themeColor="text1"/>
        </w:rPr>
        <w:t>Material Express</w:t>
      </w:r>
      <w:r w:rsidRPr="00BB4B6E">
        <w:rPr>
          <w:noProof/>
          <w:color w:val="000000" w:themeColor="text1"/>
        </w:rPr>
        <w:t xml:space="preserve">. </w:t>
      </w:r>
      <w:r w:rsidRPr="00BB4B6E">
        <w:rPr>
          <w:iCs/>
          <w:noProof/>
          <w:color w:val="000000" w:themeColor="text1"/>
        </w:rPr>
        <w:t>4</w:t>
      </w:r>
      <w:r w:rsidRPr="00BB4B6E">
        <w:rPr>
          <w:noProof/>
          <w:color w:val="000000" w:themeColor="text1"/>
        </w:rPr>
        <w:t>: 23–31.</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Suchanek, K., Marta, M., Amenda, B., Marcin, P., Maciej, S. </w:t>
      </w:r>
      <w:r w:rsidR="002D066D">
        <w:rPr>
          <w:noProof/>
          <w:color w:val="000000" w:themeColor="text1"/>
        </w:rPr>
        <w:t>and</w:t>
      </w:r>
      <w:r w:rsidRPr="00BB4B6E">
        <w:rPr>
          <w:noProof/>
          <w:color w:val="000000" w:themeColor="text1"/>
        </w:rPr>
        <w:t xml:space="preserve"> Simka, S. (2019). E</w:t>
      </w:r>
      <w:r>
        <w:rPr>
          <w:noProof/>
          <w:color w:val="000000" w:themeColor="text1"/>
        </w:rPr>
        <w:t>lectro-chemical Properties and Bio-activity of Hydroxyapatite Coatings Prepared by MEA/EDTA Double-regulated Hydrothermal S</w:t>
      </w:r>
      <w:r w:rsidRPr="00BB4B6E">
        <w:rPr>
          <w:noProof/>
          <w:color w:val="000000" w:themeColor="text1"/>
        </w:rPr>
        <w:t xml:space="preserve">ynthesis. </w:t>
      </w:r>
      <w:r w:rsidRPr="00BB4B6E">
        <w:rPr>
          <w:i/>
          <w:noProof/>
          <w:color w:val="000000" w:themeColor="text1"/>
        </w:rPr>
        <w:t>Electrochemical Acta</w:t>
      </w:r>
      <w:r w:rsidRPr="00BB4B6E">
        <w:rPr>
          <w:noProof/>
          <w:color w:val="000000" w:themeColor="text1"/>
        </w:rPr>
        <w:t>. 298: 685-693.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Sun, J., Fan, Q., Wu, L., Ma, J., Cui, L., Quan, G</w:t>
      </w:r>
      <w:r w:rsidR="009702DC">
        <w:rPr>
          <w:noProof/>
          <w:color w:val="000000" w:themeColor="text1"/>
        </w:rPr>
        <w:t>., Yan, J., Hina, K., Abdul, B.</w:t>
      </w:r>
      <w:r w:rsidRPr="00BB4B6E">
        <w:rPr>
          <w:noProof/>
          <w:color w:val="000000" w:themeColor="text1"/>
        </w:rPr>
        <w:t xml:space="preserve"> </w:t>
      </w:r>
      <w:r w:rsidR="002D066D">
        <w:rPr>
          <w:noProof/>
          <w:color w:val="000000" w:themeColor="text1"/>
        </w:rPr>
        <w:t>and</w:t>
      </w:r>
      <w:r w:rsidRPr="00BB4B6E">
        <w:rPr>
          <w:noProof/>
          <w:color w:val="000000" w:themeColor="text1"/>
        </w:rPr>
        <w:t xml:space="preserve"> Wang, H.. (202</w:t>
      </w:r>
      <w:r>
        <w:rPr>
          <w:noProof/>
          <w:color w:val="000000" w:themeColor="text1"/>
        </w:rPr>
        <w:t>0). Effects of Nano-biochar on Cadmium Uptake in Vegetables and its Natural Downward Movement in Saline Alkali S</w:t>
      </w:r>
      <w:r w:rsidRPr="00BB4B6E">
        <w:rPr>
          <w:noProof/>
          <w:color w:val="000000" w:themeColor="text1"/>
        </w:rPr>
        <w:t xml:space="preserve">oil. </w:t>
      </w:r>
      <w:r w:rsidRPr="00BB4B6E">
        <w:rPr>
          <w:i/>
          <w:iCs/>
          <w:noProof/>
          <w:color w:val="000000" w:themeColor="text1"/>
        </w:rPr>
        <w:t>Environmental Pollution Bioavailability</w:t>
      </w:r>
      <w:r>
        <w:rPr>
          <w:noProof/>
          <w:color w:val="000000" w:themeColor="text1"/>
        </w:rPr>
        <w:t>.</w:t>
      </w:r>
      <w:r w:rsidRPr="00BB4B6E">
        <w:rPr>
          <w:i/>
          <w:iCs/>
          <w:noProof/>
          <w:color w:val="000000" w:themeColor="text1"/>
        </w:rPr>
        <w:t>32</w:t>
      </w:r>
      <w:r w:rsidRPr="00BB4B6E">
        <w:rPr>
          <w:noProof/>
          <w:color w:val="000000" w:themeColor="text1"/>
        </w:rPr>
        <w:t>: 36–46.</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Tarafdar,</w:t>
      </w:r>
      <w:r>
        <w:rPr>
          <w:noProof/>
          <w:color w:val="000000" w:themeColor="text1"/>
        </w:rPr>
        <w:t xml:space="preserve"> J. C., Mahawar, H., Raliya, R.</w:t>
      </w:r>
      <w:r w:rsidR="009702DC">
        <w:rPr>
          <w:noProof/>
          <w:color w:val="000000" w:themeColor="text1"/>
        </w:rPr>
        <w:t xml:space="preserve"> </w:t>
      </w:r>
      <w:r w:rsidR="002D066D">
        <w:rPr>
          <w:noProof/>
          <w:color w:val="000000" w:themeColor="text1"/>
        </w:rPr>
        <w:t>and</w:t>
      </w:r>
      <w:r w:rsidRPr="00BB4B6E">
        <w:rPr>
          <w:noProof/>
          <w:color w:val="000000" w:themeColor="text1"/>
        </w:rPr>
        <w:t xml:space="preserve"> Rathore</w:t>
      </w:r>
      <w:r>
        <w:rPr>
          <w:noProof/>
          <w:color w:val="000000" w:themeColor="text1"/>
        </w:rPr>
        <w:t>, I. (2014). Development of Zn Nanofertilizer to Enhance Crop Production in Pearl M</w:t>
      </w:r>
      <w:r w:rsidRPr="00BB4B6E">
        <w:rPr>
          <w:noProof/>
          <w:color w:val="000000" w:themeColor="text1"/>
        </w:rPr>
        <w:t>illet (</w:t>
      </w:r>
      <w:r w:rsidRPr="00BB4B6E">
        <w:rPr>
          <w:i/>
          <w:noProof/>
          <w:color w:val="000000" w:themeColor="text1"/>
        </w:rPr>
        <w:t>Pennisetum americanum</w:t>
      </w:r>
      <w:r w:rsidRPr="00BB4B6E">
        <w:rPr>
          <w:noProof/>
          <w:color w:val="000000" w:themeColor="text1"/>
        </w:rPr>
        <w:t xml:space="preserve">). </w:t>
      </w:r>
      <w:r w:rsidRPr="00BB4B6E">
        <w:rPr>
          <w:i/>
          <w:iCs/>
          <w:noProof/>
          <w:color w:val="000000" w:themeColor="text1"/>
        </w:rPr>
        <w:t>Agricultural Research</w:t>
      </w:r>
      <w:r w:rsidRPr="00BB4B6E">
        <w:rPr>
          <w:noProof/>
          <w:color w:val="000000" w:themeColor="text1"/>
        </w:rPr>
        <w:t xml:space="preserve">. </w:t>
      </w:r>
      <w:r w:rsidRPr="00BB4B6E">
        <w:rPr>
          <w:iCs/>
          <w:noProof/>
          <w:color w:val="000000" w:themeColor="text1"/>
        </w:rPr>
        <w:t>3</w:t>
      </w:r>
      <w:r w:rsidRPr="00BB4B6E">
        <w:rPr>
          <w:noProof/>
          <w:color w:val="000000" w:themeColor="text1"/>
        </w:rPr>
        <w:t>(3): 257–262.</w:t>
      </w:r>
    </w:p>
    <w:p w:rsidR="00F934C1" w:rsidRPr="00BB4B6E" w:rsidRDefault="00F934C1" w:rsidP="00644636">
      <w:pPr>
        <w:spacing w:line="240" w:lineRule="auto"/>
        <w:ind w:left="720" w:hanging="720"/>
        <w:jc w:val="left"/>
        <w:rPr>
          <w:rFonts w:eastAsiaTheme="minorHAnsi"/>
          <w:color w:val="000000" w:themeColor="text1"/>
        </w:rPr>
      </w:pPr>
      <w:r w:rsidRPr="00BB4B6E">
        <w:rPr>
          <w:rFonts w:eastAsiaTheme="minorHAnsi"/>
          <w:color w:val="000000" w:themeColor="text1"/>
        </w:rPr>
        <w:t xml:space="preserve">Tarafder, C., Mahbuba, D., Morshed, A., Rakibul, I., Ripon, A., Jahidul, I., Sohel, A., Mohamed, A. S. A. </w:t>
      </w:r>
      <w:r w:rsidR="002D7E27">
        <w:rPr>
          <w:noProof/>
          <w:color w:val="000000" w:themeColor="text1"/>
        </w:rPr>
        <w:t>and</w:t>
      </w:r>
      <w:r w:rsidRPr="00BB4B6E">
        <w:rPr>
          <w:rFonts w:eastAsiaTheme="minorHAnsi"/>
          <w:color w:val="000000" w:themeColor="text1"/>
        </w:rPr>
        <w:t xml:space="preserve"> Zaved, H. K. (2020). Formulation of a Hybrid Nano-fertilizer for Slow and Sustainable Release of Micro-nutrients. </w:t>
      </w:r>
      <w:r w:rsidRPr="00BB4B6E">
        <w:rPr>
          <w:rFonts w:eastAsiaTheme="minorHAnsi"/>
          <w:i/>
          <w:color w:val="000000" w:themeColor="text1"/>
        </w:rPr>
        <w:t>ACS Omega</w:t>
      </w:r>
      <w:r w:rsidRPr="00BB4B6E">
        <w:rPr>
          <w:rFonts w:eastAsiaTheme="minorHAnsi"/>
          <w:color w:val="000000" w:themeColor="text1"/>
        </w:rPr>
        <w:t>. 5: 23960−23966.</w:t>
      </w:r>
    </w:p>
    <w:p w:rsidR="00F934C1" w:rsidRPr="00BB4B6E" w:rsidRDefault="00F934C1" w:rsidP="00F934C1">
      <w:pPr>
        <w:spacing w:line="240" w:lineRule="auto"/>
        <w:jc w:val="left"/>
        <w:rPr>
          <w:rFonts w:eastAsiaTheme="minorHAnsi"/>
          <w:color w:val="000000" w:themeColor="text1"/>
        </w:rPr>
      </w:pP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Wang, S. H., Gao, S. C., Wang, F. </w:t>
      </w:r>
      <w:r>
        <w:rPr>
          <w:noProof/>
          <w:color w:val="000000" w:themeColor="text1"/>
        </w:rPr>
        <w:t xml:space="preserve">Y. </w:t>
      </w:r>
      <w:r w:rsidR="002D7E27">
        <w:rPr>
          <w:noProof/>
          <w:color w:val="000000" w:themeColor="text1"/>
        </w:rPr>
        <w:t>and</w:t>
      </w:r>
      <w:r>
        <w:rPr>
          <w:noProof/>
          <w:color w:val="000000" w:themeColor="text1"/>
        </w:rPr>
        <w:t xml:space="preserve"> Wang, X. G. (2016). Heavy Metal Accumulation in Different Rice Cultivars as Influenced by Foliar Application of N</w:t>
      </w:r>
      <w:r w:rsidRPr="00BB4B6E">
        <w:rPr>
          <w:noProof/>
          <w:color w:val="000000" w:themeColor="text1"/>
        </w:rPr>
        <w:t xml:space="preserve">anosilicon. </w:t>
      </w:r>
      <w:r w:rsidRPr="00BB4B6E">
        <w:rPr>
          <w:i/>
          <w:iCs/>
          <w:noProof/>
          <w:color w:val="000000" w:themeColor="text1"/>
        </w:rPr>
        <w:t>Water Air Soil Pollution.</w:t>
      </w:r>
      <w:r w:rsidRPr="00BB4B6E">
        <w:rPr>
          <w:iCs/>
          <w:noProof/>
          <w:color w:val="000000" w:themeColor="text1"/>
        </w:rPr>
        <w:t>213</w:t>
      </w:r>
      <w:r w:rsidRPr="00BB4B6E">
        <w:rPr>
          <w:noProof/>
          <w:color w:val="000000" w:themeColor="text1"/>
        </w:rPr>
        <w:t>: 227–228.</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Willer, H. </w:t>
      </w:r>
      <w:r w:rsidR="002D7E27">
        <w:rPr>
          <w:noProof/>
          <w:color w:val="000000" w:themeColor="text1"/>
        </w:rPr>
        <w:t>and</w:t>
      </w:r>
      <w:r w:rsidRPr="00BB4B6E">
        <w:rPr>
          <w:noProof/>
          <w:color w:val="000000" w:themeColor="text1"/>
        </w:rPr>
        <w:t xml:space="preserve"> Lernoud, J. (2015). The World of Organic Agriculture, Summarry In: RIOA FiBL &amp; IFOAM: The World of Organic Agriculture. Statistics and Emerging Trends. 24-30.</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Wu, S. G., Huang, L., Kong, I. C., Head, J., Chen, D. R. </w:t>
      </w:r>
      <w:r w:rsidR="002D7E27">
        <w:rPr>
          <w:noProof/>
          <w:color w:val="000000" w:themeColor="text1"/>
        </w:rPr>
        <w:t>and</w:t>
      </w:r>
      <w:r w:rsidRPr="00BB4B6E">
        <w:rPr>
          <w:noProof/>
          <w:color w:val="000000" w:themeColor="text1"/>
        </w:rPr>
        <w:t xml:space="preserve"> Tang, Y</w:t>
      </w:r>
      <w:r>
        <w:rPr>
          <w:noProof/>
          <w:color w:val="000000" w:themeColor="text1"/>
        </w:rPr>
        <w:t>. J. (2012). Phyto-toxicity of Metal Oxide Nano-particles is Related to Both Dissolved Metals I</w:t>
      </w:r>
      <w:r w:rsidRPr="00BB4B6E">
        <w:rPr>
          <w:noProof/>
          <w:color w:val="000000" w:themeColor="text1"/>
        </w:rPr>
        <w:t>ons a</w:t>
      </w:r>
      <w:r>
        <w:rPr>
          <w:noProof/>
          <w:color w:val="000000" w:themeColor="text1"/>
        </w:rPr>
        <w:t>nd Adsorption of Particles on Seed S</w:t>
      </w:r>
      <w:r w:rsidRPr="00BB4B6E">
        <w:rPr>
          <w:noProof/>
          <w:color w:val="000000" w:themeColor="text1"/>
        </w:rPr>
        <w:t xml:space="preserve">urface. </w:t>
      </w:r>
      <w:r w:rsidRPr="00BB4B6E">
        <w:rPr>
          <w:i/>
          <w:iCs/>
          <w:noProof/>
          <w:color w:val="000000" w:themeColor="text1"/>
        </w:rPr>
        <w:t>Journal of Petroleum Environmental Biotechnology.</w:t>
      </w:r>
      <w:r w:rsidRPr="00BB4B6E">
        <w:rPr>
          <w:iCs/>
          <w:noProof/>
          <w:color w:val="000000" w:themeColor="text1"/>
        </w:rPr>
        <w:t>3</w:t>
      </w:r>
      <w:r w:rsidRPr="00BB4B6E">
        <w:rPr>
          <w:noProof/>
          <w:color w:val="000000" w:themeColor="text1"/>
        </w:rPr>
        <w:t>: 126-127.</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Yaoyao, W., Fuping, J., Yukui, R., Chua</w:t>
      </w:r>
      <w:r>
        <w:rPr>
          <w:noProof/>
          <w:color w:val="000000" w:themeColor="text1"/>
        </w:rPr>
        <w:t>nxin, M., Yukui, R., Daniel, C.</w:t>
      </w:r>
      <w:r w:rsidR="009702DC">
        <w:rPr>
          <w:noProof/>
          <w:color w:val="000000" w:themeColor="text1"/>
        </w:rPr>
        <w:t xml:space="preserve"> </w:t>
      </w:r>
      <w:r w:rsidR="002D7E27">
        <w:rPr>
          <w:noProof/>
          <w:color w:val="000000" w:themeColor="text1"/>
        </w:rPr>
        <w:t>and</w:t>
      </w:r>
      <w:r w:rsidRPr="00BB4B6E">
        <w:rPr>
          <w:noProof/>
          <w:color w:val="000000" w:themeColor="text1"/>
        </w:rPr>
        <w:t xml:space="preserve"> Baoshan</w:t>
      </w:r>
      <w:r w:rsidR="002D7E27">
        <w:rPr>
          <w:noProof/>
          <w:color w:val="000000" w:themeColor="text1"/>
        </w:rPr>
        <w:t>, X. (2019)</w:t>
      </w:r>
      <w:r>
        <w:rPr>
          <w:noProof/>
          <w:color w:val="000000" w:themeColor="text1"/>
        </w:rPr>
        <w:t>. Effect of Metal Oxide Nano-particles on Heavy M</w:t>
      </w:r>
      <w:r w:rsidRPr="00BB4B6E">
        <w:rPr>
          <w:noProof/>
          <w:color w:val="000000" w:themeColor="text1"/>
        </w:rPr>
        <w:t>e</w:t>
      </w:r>
      <w:r>
        <w:rPr>
          <w:noProof/>
          <w:color w:val="000000" w:themeColor="text1"/>
        </w:rPr>
        <w:t>tal and Amino Acids in Wheat G</w:t>
      </w:r>
      <w:r w:rsidRPr="00BB4B6E">
        <w:rPr>
          <w:noProof/>
          <w:color w:val="000000" w:themeColor="text1"/>
        </w:rPr>
        <w:t>rains (</w:t>
      </w:r>
      <w:r w:rsidRPr="00BB4B6E">
        <w:rPr>
          <w:i/>
          <w:noProof/>
          <w:color w:val="000000" w:themeColor="text1"/>
        </w:rPr>
        <w:t>Triticum aestivum</w:t>
      </w:r>
      <w:r w:rsidRPr="00BB4B6E">
        <w:rPr>
          <w:noProof/>
          <w:color w:val="000000" w:themeColor="text1"/>
        </w:rPr>
        <w:t xml:space="preserve">) in a life-cycle study. </w:t>
      </w:r>
      <w:r w:rsidRPr="00BB4B6E">
        <w:rPr>
          <w:i/>
          <w:iCs/>
          <w:noProof/>
          <w:color w:val="000000" w:themeColor="text1"/>
        </w:rPr>
        <w:t>Journal of Environmental Management.</w:t>
      </w:r>
      <w:r w:rsidRPr="00BB4B6E">
        <w:rPr>
          <w:iCs/>
          <w:noProof/>
          <w:color w:val="000000" w:themeColor="text1"/>
        </w:rPr>
        <w:t>241</w:t>
      </w:r>
      <w:r w:rsidRPr="00BB4B6E">
        <w:rPr>
          <w:noProof/>
          <w:color w:val="000000" w:themeColor="text1"/>
        </w:rPr>
        <w:t>: 319-327.</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Yong</w:t>
      </w:r>
      <w:r>
        <w:rPr>
          <w:noProof/>
          <w:color w:val="000000" w:themeColor="text1"/>
        </w:rPr>
        <w:t>, E. K., Jung, K. K., Young, K.</w:t>
      </w:r>
      <w:r w:rsidR="009702DC">
        <w:rPr>
          <w:noProof/>
          <w:color w:val="000000" w:themeColor="text1"/>
        </w:rPr>
        <w:t xml:space="preserve"> </w:t>
      </w:r>
      <w:r w:rsidR="002D7E27">
        <w:rPr>
          <w:noProof/>
          <w:color w:val="000000" w:themeColor="text1"/>
        </w:rPr>
        <w:t>and</w:t>
      </w:r>
      <w:r w:rsidRPr="00BB4B6E">
        <w:rPr>
          <w:noProof/>
          <w:color w:val="000000" w:themeColor="text1"/>
        </w:rPr>
        <w:t xml:space="preserve"> Joong, K. (2019). Deve</w:t>
      </w:r>
      <w:r>
        <w:rPr>
          <w:noProof/>
          <w:color w:val="000000" w:themeColor="text1"/>
        </w:rPr>
        <w:t>lopment of SEM and STEM-in-SEM Grid Holders for EDS A</w:t>
      </w:r>
      <w:r w:rsidRPr="00BB4B6E">
        <w:rPr>
          <w:noProof/>
          <w:color w:val="000000" w:themeColor="text1"/>
        </w:rPr>
        <w:t xml:space="preserve">nalysis and </w:t>
      </w:r>
      <w:r>
        <w:rPr>
          <w:noProof/>
          <w:color w:val="000000" w:themeColor="text1"/>
        </w:rPr>
        <w:t>Their Applications to Apatite P</w:t>
      </w:r>
      <w:r w:rsidRPr="00BB4B6E">
        <w:rPr>
          <w:noProof/>
          <w:color w:val="000000" w:themeColor="text1"/>
        </w:rPr>
        <w:t xml:space="preserve">hases. </w:t>
      </w:r>
      <w:r w:rsidRPr="00BB4B6E">
        <w:rPr>
          <w:i/>
          <w:noProof/>
          <w:color w:val="000000" w:themeColor="text1"/>
        </w:rPr>
        <w:t>Journal of Analytical Science and Technology</w:t>
      </w:r>
      <w:r w:rsidRPr="00BB4B6E">
        <w:rPr>
          <w:noProof/>
          <w:color w:val="000000" w:themeColor="text1"/>
        </w:rPr>
        <w:t>. 49: 428-434.</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lastRenderedPageBreak/>
        <w:t xml:space="preserve">Yuvakkumar, R., Elango, V., Kannan, N. S., Rajendran, V. </w:t>
      </w:r>
      <w:r w:rsidR="002D7E27">
        <w:rPr>
          <w:noProof/>
          <w:color w:val="000000" w:themeColor="text1"/>
        </w:rPr>
        <w:t>and</w:t>
      </w:r>
      <w:r w:rsidR="009702DC">
        <w:rPr>
          <w:noProof/>
          <w:color w:val="000000" w:themeColor="text1"/>
        </w:rPr>
        <w:t xml:space="preserve"> </w:t>
      </w:r>
      <w:r>
        <w:rPr>
          <w:noProof/>
          <w:color w:val="000000" w:themeColor="text1"/>
        </w:rPr>
        <w:t>Prabu, P. (2011). Influence of Nano-silica Powder on the Growth of Maize C</w:t>
      </w:r>
      <w:r w:rsidRPr="00BB4B6E">
        <w:rPr>
          <w:noProof/>
          <w:color w:val="000000" w:themeColor="text1"/>
        </w:rPr>
        <w:t>rop (</w:t>
      </w:r>
      <w:r w:rsidRPr="00BB4B6E">
        <w:rPr>
          <w:i/>
          <w:noProof/>
          <w:color w:val="000000" w:themeColor="text1"/>
        </w:rPr>
        <w:t>Zea Mays L</w:t>
      </w:r>
      <w:r w:rsidRPr="00BB4B6E">
        <w:rPr>
          <w:noProof/>
          <w:color w:val="000000" w:themeColor="text1"/>
        </w:rPr>
        <w:t xml:space="preserve">.). </w:t>
      </w:r>
      <w:r w:rsidRPr="00BB4B6E">
        <w:rPr>
          <w:i/>
          <w:iCs/>
          <w:noProof/>
          <w:color w:val="000000" w:themeColor="text1"/>
        </w:rPr>
        <w:t>International Journal of Green Nanotechnology.</w:t>
      </w:r>
      <w:r w:rsidRPr="00BB4B6E">
        <w:rPr>
          <w:iCs/>
          <w:noProof/>
          <w:color w:val="000000" w:themeColor="text1"/>
        </w:rPr>
        <w:t>3</w:t>
      </w:r>
      <w:r w:rsidRPr="00BB4B6E">
        <w:rPr>
          <w:noProof/>
          <w:color w:val="000000" w:themeColor="text1"/>
        </w:rPr>
        <w:t>(3): 80–190.</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Zahra, S. K., Muhammad, R., Shafaqat, A., Muhammad, R. J.</w:t>
      </w:r>
      <w:r w:rsidR="009702DC">
        <w:rPr>
          <w:noProof/>
          <w:color w:val="000000" w:themeColor="text1"/>
        </w:rPr>
        <w:t xml:space="preserve"> </w:t>
      </w:r>
      <w:r w:rsidR="002D7E27">
        <w:rPr>
          <w:noProof/>
          <w:color w:val="000000" w:themeColor="text1"/>
        </w:rPr>
        <w:t>and</w:t>
      </w:r>
      <w:r>
        <w:rPr>
          <w:noProof/>
          <w:color w:val="000000" w:themeColor="text1"/>
        </w:rPr>
        <w:t xml:space="preserve"> Muhammad, A. (2019). The Accumulation of Cd in W</w:t>
      </w:r>
      <w:r w:rsidRPr="00BB4B6E">
        <w:rPr>
          <w:noProof/>
          <w:color w:val="000000" w:themeColor="text1"/>
        </w:rPr>
        <w:t>heat (</w:t>
      </w:r>
      <w:r w:rsidRPr="00AD277D">
        <w:rPr>
          <w:i/>
          <w:noProof/>
          <w:color w:val="000000" w:themeColor="text1"/>
        </w:rPr>
        <w:t>Triticum aestivum</w:t>
      </w:r>
      <w:r>
        <w:rPr>
          <w:noProof/>
          <w:color w:val="000000" w:themeColor="text1"/>
        </w:rPr>
        <w:t>) as Influenced by ZnO Nano-particles and Soil Moisture C</w:t>
      </w:r>
      <w:r w:rsidRPr="00BB4B6E">
        <w:rPr>
          <w:noProof/>
          <w:color w:val="000000" w:themeColor="text1"/>
        </w:rPr>
        <w:t xml:space="preserve">onditions. </w:t>
      </w:r>
      <w:r w:rsidRPr="00BB4B6E">
        <w:rPr>
          <w:i/>
          <w:iCs/>
          <w:noProof/>
          <w:color w:val="000000" w:themeColor="text1"/>
        </w:rPr>
        <w:t>Environmental Science and Pollution Research.</w:t>
      </w:r>
      <w:r w:rsidRPr="00BB4B6E">
        <w:rPr>
          <w:iCs/>
          <w:noProof/>
          <w:color w:val="000000" w:themeColor="text1"/>
        </w:rPr>
        <w:t>26</w:t>
      </w:r>
      <w:r w:rsidRPr="00BB4B6E">
        <w:rPr>
          <w:noProof/>
          <w:color w:val="000000" w:themeColor="text1"/>
        </w:rPr>
        <w:t>(9): 19859-19870.</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Zhang, V., Edward, B. S., Oancea, F., Kurpad, A. l., Sicuia, O. A., Constantinescu, F.</w:t>
      </w:r>
      <w:r w:rsidR="009702DC">
        <w:rPr>
          <w:noProof/>
          <w:color w:val="000000" w:themeColor="text1"/>
        </w:rPr>
        <w:t xml:space="preserve"> </w:t>
      </w:r>
      <w:r w:rsidR="002D7E27">
        <w:rPr>
          <w:noProof/>
          <w:color w:val="000000" w:themeColor="text1"/>
        </w:rPr>
        <w:t>and</w:t>
      </w:r>
      <w:r>
        <w:rPr>
          <w:noProof/>
          <w:color w:val="000000" w:themeColor="text1"/>
        </w:rPr>
        <w:t xml:space="preserve"> Dinu, S. (2019). Responsive Nano-polymers for Crop Protection and G</w:t>
      </w:r>
      <w:r w:rsidRPr="00BB4B6E">
        <w:rPr>
          <w:noProof/>
          <w:color w:val="000000" w:themeColor="text1"/>
        </w:rPr>
        <w:t xml:space="preserve">rowth. </w:t>
      </w:r>
      <w:r w:rsidRPr="00BB4B6E">
        <w:rPr>
          <w:i/>
          <w:iCs/>
          <w:noProof/>
          <w:color w:val="000000" w:themeColor="text1"/>
        </w:rPr>
        <w:t xml:space="preserve">Polymers. </w:t>
      </w:r>
      <w:r w:rsidRPr="00BB4B6E">
        <w:rPr>
          <w:iCs/>
          <w:noProof/>
          <w:color w:val="000000" w:themeColor="text1"/>
        </w:rPr>
        <w:t>2</w:t>
      </w:r>
      <w:r w:rsidRPr="00BB4B6E">
        <w:rPr>
          <w:noProof/>
          <w:color w:val="000000" w:themeColor="text1"/>
        </w:rPr>
        <w:t>: 229–251.</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 xml:space="preserve">Zhangwei, L, Li, C., Man, M., Zhou, Z. </w:t>
      </w:r>
      <w:r w:rsidR="002D7E27">
        <w:rPr>
          <w:noProof/>
          <w:color w:val="000000" w:themeColor="text1"/>
        </w:rPr>
        <w:t>and</w:t>
      </w:r>
      <w:r w:rsidRPr="00BB4B6E">
        <w:rPr>
          <w:noProof/>
          <w:color w:val="000000" w:themeColor="text1"/>
        </w:rPr>
        <w:t xml:space="preserve"> Wang, L. (2019). The Research of Nano-particle and Micro-particle Hydroxyapatite Amendment in Multiple Heavy Metals Contaminated Soil Remediation. </w:t>
      </w:r>
      <w:r w:rsidRPr="00BB4B6E">
        <w:rPr>
          <w:i/>
          <w:iCs/>
          <w:noProof/>
          <w:color w:val="000000" w:themeColor="text1"/>
        </w:rPr>
        <w:t>JOURNAL OF NANOTECHNOLOGY</w:t>
      </w:r>
      <w:r w:rsidRPr="00BB4B6E">
        <w:rPr>
          <w:noProof/>
          <w:color w:val="000000" w:themeColor="text1"/>
        </w:rPr>
        <w:t xml:space="preserve">. </w:t>
      </w:r>
      <w:r w:rsidRPr="00BB4B6E">
        <w:rPr>
          <w:iCs/>
          <w:noProof/>
          <w:color w:val="000000" w:themeColor="text1"/>
        </w:rPr>
        <w:t>4</w:t>
      </w:r>
      <w:r w:rsidRPr="00BB4B6E">
        <w:rPr>
          <w:noProof/>
          <w:color w:val="000000" w:themeColor="text1"/>
        </w:rPr>
        <w:t>: 92–123.</w:t>
      </w:r>
    </w:p>
    <w:p w:rsidR="00F934C1" w:rsidRPr="00BB4B6E" w:rsidRDefault="00F934C1" w:rsidP="00F934C1">
      <w:pPr>
        <w:widowControl w:val="0"/>
        <w:spacing w:after="200" w:line="240" w:lineRule="auto"/>
        <w:ind w:left="480" w:hanging="480"/>
        <w:rPr>
          <w:noProof/>
          <w:color w:val="000000" w:themeColor="text1"/>
        </w:rPr>
      </w:pPr>
      <w:r w:rsidRPr="00BB4B6E">
        <w:rPr>
          <w:noProof/>
          <w:color w:val="000000" w:themeColor="text1"/>
        </w:rPr>
        <w:t>Zhou, Z., Liang, X., Zhang, B., Liu, H., Ma, W.,</w:t>
      </w:r>
      <w:r>
        <w:rPr>
          <w:noProof/>
          <w:color w:val="000000" w:themeColor="text1"/>
        </w:rPr>
        <w:t xml:space="preserve"> Shi, Z. </w:t>
      </w:r>
      <w:r w:rsidR="002D7E27">
        <w:rPr>
          <w:noProof/>
          <w:color w:val="000000" w:themeColor="text1"/>
        </w:rPr>
        <w:t>and</w:t>
      </w:r>
      <w:r>
        <w:rPr>
          <w:noProof/>
          <w:color w:val="000000" w:themeColor="text1"/>
        </w:rPr>
        <w:t xml:space="preserve"> Yang, S. (2019). Zn Effects on Cd Toxicity in Two Wheat V</w:t>
      </w:r>
      <w:r w:rsidRPr="00BB4B6E">
        <w:rPr>
          <w:noProof/>
          <w:color w:val="000000" w:themeColor="text1"/>
        </w:rPr>
        <w:t>arieties (</w:t>
      </w:r>
      <w:r w:rsidRPr="00BB4B6E">
        <w:rPr>
          <w:i/>
          <w:noProof/>
          <w:color w:val="000000" w:themeColor="text1"/>
        </w:rPr>
        <w:t>Triticum aestivum L</w:t>
      </w:r>
      <w:r>
        <w:rPr>
          <w:noProof/>
          <w:color w:val="000000" w:themeColor="text1"/>
        </w:rPr>
        <w:t>.) Differing in Grain Cadmium A</w:t>
      </w:r>
      <w:r w:rsidRPr="00BB4B6E">
        <w:rPr>
          <w:noProof/>
          <w:color w:val="000000" w:themeColor="text1"/>
        </w:rPr>
        <w:t xml:space="preserve">ccumulation. </w:t>
      </w:r>
      <w:r w:rsidRPr="00BB4B6E">
        <w:rPr>
          <w:i/>
          <w:iCs/>
          <w:noProof/>
          <w:color w:val="000000" w:themeColor="text1"/>
        </w:rPr>
        <w:t>Ecotoxicological Environmental Safety</w:t>
      </w:r>
      <w:r w:rsidRPr="00BB4B6E">
        <w:rPr>
          <w:noProof/>
          <w:color w:val="000000" w:themeColor="text1"/>
        </w:rPr>
        <w:t xml:space="preserve">. </w:t>
      </w:r>
      <w:r w:rsidRPr="00BB4B6E">
        <w:rPr>
          <w:iCs/>
          <w:noProof/>
          <w:color w:val="000000" w:themeColor="text1"/>
        </w:rPr>
        <w:t>183</w:t>
      </w:r>
      <w:r w:rsidRPr="00BB4B6E">
        <w:rPr>
          <w:noProof/>
          <w:color w:val="000000" w:themeColor="text1"/>
        </w:rPr>
        <w:t>: 109562.</w:t>
      </w:r>
    </w:p>
    <w:p w:rsidR="00F934C1" w:rsidRPr="00BB4B6E" w:rsidRDefault="00F934C1" w:rsidP="00F934C1">
      <w:pPr>
        <w:widowControl w:val="0"/>
        <w:spacing w:after="200" w:line="240" w:lineRule="auto"/>
        <w:ind w:left="480" w:hanging="480"/>
        <w:rPr>
          <w:noProof/>
          <w:color w:val="000000" w:themeColor="text1"/>
        </w:rPr>
      </w:pPr>
      <w:r>
        <w:rPr>
          <w:noProof/>
          <w:color w:val="000000" w:themeColor="text1"/>
        </w:rPr>
        <w:t>Zhu, Y, Xu, F.</w:t>
      </w:r>
      <w:r w:rsidR="009702DC">
        <w:rPr>
          <w:noProof/>
          <w:color w:val="000000" w:themeColor="text1"/>
        </w:rPr>
        <w:t xml:space="preserve"> </w:t>
      </w:r>
      <w:r w:rsidR="002D7E27">
        <w:rPr>
          <w:noProof/>
          <w:color w:val="000000" w:themeColor="text1"/>
        </w:rPr>
        <w:t>and</w:t>
      </w:r>
      <w:r w:rsidRPr="00BB4B6E">
        <w:rPr>
          <w:noProof/>
          <w:color w:val="000000" w:themeColor="text1"/>
        </w:rPr>
        <w:t xml:space="preserve"> Liu,.</w:t>
      </w:r>
      <w:r>
        <w:rPr>
          <w:noProof/>
          <w:color w:val="000000" w:themeColor="text1"/>
        </w:rPr>
        <w:t xml:space="preserve"> Q. (2019). Nano-materials and Plants: Positive Effects, Toxicity and the Remediation of Metal and Metalloid P</w:t>
      </w:r>
      <w:r w:rsidRPr="00BB4B6E">
        <w:rPr>
          <w:noProof/>
          <w:color w:val="000000" w:themeColor="text1"/>
        </w:rPr>
        <w:t xml:space="preserve">ollution </w:t>
      </w:r>
      <w:r>
        <w:rPr>
          <w:noProof/>
          <w:color w:val="000000" w:themeColor="text1"/>
        </w:rPr>
        <w:t>in S</w:t>
      </w:r>
      <w:r w:rsidRPr="00BB4B6E">
        <w:rPr>
          <w:noProof/>
          <w:color w:val="000000" w:themeColor="text1"/>
        </w:rPr>
        <w:t xml:space="preserve">oil. </w:t>
      </w:r>
      <w:r w:rsidRPr="00BB4B6E">
        <w:rPr>
          <w:i/>
          <w:iCs/>
          <w:noProof/>
          <w:color w:val="000000" w:themeColor="text1"/>
        </w:rPr>
        <w:t>Science Total Environment..</w:t>
      </w:r>
      <w:r w:rsidRPr="00BB4B6E">
        <w:rPr>
          <w:iCs/>
          <w:noProof/>
          <w:color w:val="000000" w:themeColor="text1"/>
        </w:rPr>
        <w:t>662</w:t>
      </w:r>
      <w:r w:rsidRPr="00BB4B6E">
        <w:rPr>
          <w:noProof/>
          <w:color w:val="000000" w:themeColor="text1"/>
        </w:rPr>
        <w:t>: 414–421.</w:t>
      </w:r>
    </w:p>
    <w:p w:rsidR="00F934C1" w:rsidRPr="00BB4B6E" w:rsidRDefault="00C226E6" w:rsidP="00F934C1">
      <w:pPr>
        <w:widowControl w:val="0"/>
        <w:spacing w:after="200" w:line="240" w:lineRule="auto"/>
        <w:rPr>
          <w:bCs/>
          <w:color w:val="000000" w:themeColor="text1"/>
        </w:rPr>
      </w:pPr>
      <w:r w:rsidRPr="00BB4B6E">
        <w:rPr>
          <w:bCs/>
          <w:color w:val="000000" w:themeColor="text1"/>
        </w:rPr>
        <w:fldChar w:fldCharType="end"/>
      </w:r>
    </w:p>
    <w:p w:rsidR="00F934C1" w:rsidRPr="00BB4B6E" w:rsidRDefault="00F934C1" w:rsidP="00F934C1">
      <w:bookmarkStart w:id="305" w:name="_Toc62228785"/>
    </w:p>
    <w:p w:rsidR="00F934C1" w:rsidRPr="00BB4B6E" w:rsidRDefault="00F934C1" w:rsidP="00F934C1">
      <w:r w:rsidRPr="00BB4B6E">
        <w:rPr>
          <w:b/>
        </w:rPr>
        <w:br w:type="page"/>
      </w:r>
    </w:p>
    <w:p w:rsidR="00F934C1" w:rsidRPr="00C323D5" w:rsidRDefault="00F934C1" w:rsidP="00F934C1">
      <w:pPr>
        <w:pStyle w:val="Heading1"/>
      </w:pPr>
      <w:bookmarkStart w:id="306" w:name="_Toc144820082"/>
      <w:r w:rsidRPr="00C323D5">
        <w:lastRenderedPageBreak/>
        <w:t>APPENDICES</w:t>
      </w:r>
      <w:bookmarkEnd w:id="305"/>
      <w:bookmarkEnd w:id="306"/>
    </w:p>
    <w:p w:rsidR="00F934C1" w:rsidRPr="00BB4B6E" w:rsidRDefault="00F934C1" w:rsidP="00F934C1">
      <w:pPr>
        <w:pStyle w:val="Heading2"/>
      </w:pPr>
      <w:bookmarkStart w:id="307" w:name="_Toc112877988"/>
      <w:bookmarkStart w:id="308" w:name="_Toc112880619"/>
      <w:bookmarkStart w:id="309" w:name="_Toc144820083"/>
      <w:r w:rsidRPr="00BB4B6E">
        <w:rPr>
          <w:color w:val="auto"/>
        </w:rPr>
        <w:t>Appendix I: Percentage</w:t>
      </w:r>
      <w:r w:rsidRPr="00BB4B6E">
        <w:t xml:space="preserve"> Pb and Cd reduction uptake in kales, spinach and beans at maturity (After 90 days)</w:t>
      </w:r>
      <w:bookmarkEnd w:id="307"/>
      <w:bookmarkEnd w:id="308"/>
      <w:bookmarkEnd w:id="309"/>
    </w:p>
    <w:tbl>
      <w:tblPr>
        <w:tblW w:w="8640" w:type="dxa"/>
        <w:tblInd w:w="-295" w:type="dxa"/>
        <w:tblLayout w:type="fixed"/>
        <w:tblCellMar>
          <w:left w:w="0" w:type="dxa"/>
          <w:right w:w="0" w:type="dxa"/>
        </w:tblCellMar>
        <w:tblLook w:val="04A0" w:firstRow="1" w:lastRow="0" w:firstColumn="1" w:lastColumn="0" w:noHBand="0" w:noVBand="1"/>
      </w:tblPr>
      <w:tblGrid>
        <w:gridCol w:w="1980"/>
        <w:gridCol w:w="417"/>
        <w:gridCol w:w="1198"/>
        <w:gridCol w:w="1078"/>
        <w:gridCol w:w="817"/>
        <w:gridCol w:w="35"/>
        <w:gridCol w:w="130"/>
        <w:gridCol w:w="924"/>
        <w:gridCol w:w="1260"/>
        <w:gridCol w:w="801"/>
      </w:tblGrid>
      <w:tr w:rsidR="00F934C1" w:rsidRPr="00BB4B6E" w:rsidTr="00644636">
        <w:trPr>
          <w:trHeight w:val="967"/>
        </w:trPr>
        <w:tc>
          <w:tcPr>
            <w:tcW w:w="1980" w:type="dxa"/>
            <w:tcBorders>
              <w:top w:val="single" w:sz="8" w:space="0" w:color="000000"/>
              <w:left w:val="single" w:sz="8" w:space="0" w:color="FFFFFF"/>
              <w:bottom w:val="single" w:sz="8" w:space="0" w:color="000000"/>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b/>
                <w:bCs/>
                <w:color w:val="000000" w:themeColor="text1"/>
                <w:kern w:val="24"/>
              </w:rPr>
              <w:t>TREATMENT</w:t>
            </w:r>
          </w:p>
        </w:tc>
        <w:tc>
          <w:tcPr>
            <w:tcW w:w="417" w:type="dxa"/>
            <w:tcBorders>
              <w:top w:val="single" w:sz="8" w:space="0" w:color="000000"/>
              <w:left w:val="single" w:sz="8" w:space="0" w:color="000000"/>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2276" w:type="dxa"/>
            <w:gridSpan w:val="2"/>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center"/>
              <w:rPr>
                <w:color w:val="000000" w:themeColor="text1"/>
              </w:rPr>
            </w:pPr>
            <w:r w:rsidRPr="00BB4B6E">
              <w:rPr>
                <w:b/>
                <w:bCs/>
                <w:color w:val="000000" w:themeColor="text1"/>
                <w:kern w:val="24"/>
              </w:rPr>
              <w:t xml:space="preserve">% Pb Reduction </w:t>
            </w:r>
          </w:p>
          <w:p w:rsidR="00F934C1" w:rsidRPr="00BB4B6E" w:rsidRDefault="00F934C1" w:rsidP="00F934C1">
            <w:pPr>
              <w:autoSpaceDE/>
              <w:autoSpaceDN/>
              <w:adjustRightInd/>
              <w:spacing w:line="360" w:lineRule="auto"/>
              <w:jc w:val="center"/>
              <w:rPr>
                <w:color w:val="000000" w:themeColor="text1"/>
              </w:rPr>
            </w:pPr>
            <w:r w:rsidRPr="00BB4B6E">
              <w:rPr>
                <w:b/>
                <w:bCs/>
                <w:color w:val="000000" w:themeColor="text1"/>
                <w:kern w:val="24"/>
              </w:rPr>
              <w:t>n=9</w:t>
            </w:r>
          </w:p>
        </w:tc>
        <w:tc>
          <w:tcPr>
            <w:tcW w:w="817" w:type="dxa"/>
            <w:tcBorders>
              <w:top w:val="single" w:sz="8" w:space="0" w:color="000000"/>
              <w:left w:val="single" w:sz="8" w:space="0" w:color="FFFFFF"/>
              <w:bottom w:val="single" w:sz="8" w:space="0" w:color="000000"/>
              <w:right w:val="single" w:sz="4" w:space="0" w:color="auto"/>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65" w:type="dxa"/>
            <w:gridSpan w:val="2"/>
            <w:tcBorders>
              <w:top w:val="single" w:sz="8" w:space="0" w:color="000000"/>
              <w:left w:val="single" w:sz="4" w:space="0" w:color="auto"/>
              <w:bottom w:val="single" w:sz="8" w:space="0" w:color="000000"/>
              <w:right w:val="single" w:sz="8" w:space="0" w:color="FFFFFF"/>
            </w:tcBorders>
            <w:shd w:val="clear" w:color="auto" w:fill="FFFFFF"/>
            <w:tcMar>
              <w:top w:w="12" w:type="dxa"/>
              <w:left w:w="65" w:type="dxa"/>
              <w:bottom w:w="0" w:type="dxa"/>
              <w:right w:w="65" w:type="dxa"/>
            </w:tcMar>
          </w:tcPr>
          <w:p w:rsidR="00F934C1" w:rsidRPr="00BB4B6E" w:rsidRDefault="00F934C1" w:rsidP="00F934C1">
            <w:pPr>
              <w:autoSpaceDE/>
              <w:autoSpaceDN/>
              <w:adjustRightInd/>
              <w:spacing w:line="360" w:lineRule="auto"/>
              <w:jc w:val="left"/>
              <w:rPr>
                <w:color w:val="000000" w:themeColor="text1"/>
              </w:rPr>
            </w:pPr>
          </w:p>
        </w:tc>
        <w:tc>
          <w:tcPr>
            <w:tcW w:w="2184" w:type="dxa"/>
            <w:gridSpan w:val="2"/>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center"/>
              <w:rPr>
                <w:color w:val="000000" w:themeColor="text1"/>
              </w:rPr>
            </w:pPr>
            <w:r w:rsidRPr="00BB4B6E">
              <w:rPr>
                <w:b/>
                <w:bCs/>
                <w:color w:val="000000" w:themeColor="text1"/>
                <w:kern w:val="24"/>
              </w:rPr>
              <w:t>% Cd Reduction</w:t>
            </w:r>
          </w:p>
          <w:p w:rsidR="00F934C1" w:rsidRPr="00BB4B6E" w:rsidRDefault="00F934C1" w:rsidP="00F934C1">
            <w:pPr>
              <w:autoSpaceDE/>
              <w:autoSpaceDN/>
              <w:adjustRightInd/>
              <w:spacing w:line="360" w:lineRule="auto"/>
              <w:jc w:val="center"/>
              <w:rPr>
                <w:color w:val="000000" w:themeColor="text1"/>
              </w:rPr>
            </w:pPr>
            <w:r w:rsidRPr="00BB4B6E">
              <w:rPr>
                <w:b/>
                <w:bCs/>
                <w:color w:val="000000" w:themeColor="text1"/>
                <w:kern w:val="24"/>
              </w:rPr>
              <w:t>n=9</w:t>
            </w:r>
          </w:p>
        </w:tc>
        <w:tc>
          <w:tcPr>
            <w:tcW w:w="801" w:type="dxa"/>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r>
      <w:tr w:rsidR="00F934C1" w:rsidRPr="00BB4B6E" w:rsidTr="00644636">
        <w:trPr>
          <w:trHeight w:val="407"/>
        </w:trPr>
        <w:tc>
          <w:tcPr>
            <w:tcW w:w="1980" w:type="dxa"/>
            <w:tcBorders>
              <w:top w:val="single" w:sz="8" w:space="0" w:color="000000"/>
              <w:left w:val="single" w:sz="8" w:space="0" w:color="FFFFFF"/>
              <w:bottom w:val="single" w:sz="8" w:space="0" w:color="000000"/>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417" w:type="dxa"/>
            <w:tcBorders>
              <w:top w:val="single" w:sz="8" w:space="0" w:color="000000"/>
              <w:left w:val="single" w:sz="8" w:space="0" w:color="000000"/>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Kales </w:t>
            </w:r>
          </w:p>
        </w:tc>
        <w:tc>
          <w:tcPr>
            <w:tcW w:w="1078" w:type="dxa"/>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spinach </w:t>
            </w:r>
          </w:p>
        </w:tc>
        <w:tc>
          <w:tcPr>
            <w:tcW w:w="817" w:type="dxa"/>
            <w:tcBorders>
              <w:top w:val="single" w:sz="8" w:space="0" w:color="000000"/>
              <w:left w:val="single" w:sz="8" w:space="0" w:color="FFFFFF"/>
              <w:bottom w:val="single" w:sz="8" w:space="0" w:color="000000"/>
              <w:right w:val="single" w:sz="4" w:space="0" w:color="auto"/>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Beans </w:t>
            </w:r>
          </w:p>
        </w:tc>
        <w:tc>
          <w:tcPr>
            <w:tcW w:w="165" w:type="dxa"/>
            <w:gridSpan w:val="2"/>
            <w:tcBorders>
              <w:top w:val="single" w:sz="8" w:space="0" w:color="000000"/>
              <w:left w:val="single" w:sz="4" w:space="0" w:color="auto"/>
              <w:bottom w:val="single" w:sz="8" w:space="0" w:color="000000"/>
              <w:right w:val="single" w:sz="8" w:space="0" w:color="FFFFFF"/>
            </w:tcBorders>
            <w:shd w:val="clear" w:color="auto" w:fill="FFFFFF"/>
            <w:tcMar>
              <w:top w:w="12" w:type="dxa"/>
              <w:left w:w="65" w:type="dxa"/>
              <w:bottom w:w="0" w:type="dxa"/>
              <w:right w:w="65" w:type="dxa"/>
            </w:tcMar>
          </w:tcPr>
          <w:p w:rsidR="00F934C1" w:rsidRPr="00BB4B6E" w:rsidRDefault="00F934C1" w:rsidP="00F934C1">
            <w:pPr>
              <w:autoSpaceDE/>
              <w:autoSpaceDN/>
              <w:adjustRightInd/>
              <w:spacing w:line="360" w:lineRule="auto"/>
              <w:jc w:val="left"/>
              <w:rPr>
                <w:color w:val="000000" w:themeColor="text1"/>
              </w:rPr>
            </w:pPr>
          </w:p>
        </w:tc>
        <w:tc>
          <w:tcPr>
            <w:tcW w:w="924" w:type="dxa"/>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Kales </w:t>
            </w:r>
          </w:p>
        </w:tc>
        <w:tc>
          <w:tcPr>
            <w:tcW w:w="1260" w:type="dxa"/>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spinach </w:t>
            </w:r>
          </w:p>
        </w:tc>
        <w:tc>
          <w:tcPr>
            <w:tcW w:w="801" w:type="dxa"/>
            <w:tcBorders>
              <w:top w:val="single" w:sz="8" w:space="0" w:color="000000"/>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Beans </w:t>
            </w:r>
          </w:p>
        </w:tc>
      </w:tr>
      <w:tr w:rsidR="00F934C1" w:rsidRPr="00BB4B6E" w:rsidTr="00644636">
        <w:trPr>
          <w:trHeight w:val="281"/>
        </w:trPr>
        <w:tc>
          <w:tcPr>
            <w:tcW w:w="1980" w:type="dxa"/>
            <w:tcBorders>
              <w:top w:val="single" w:sz="8" w:space="0" w:color="000000"/>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Bone nHA</w:t>
            </w:r>
          </w:p>
        </w:tc>
        <w:tc>
          <w:tcPr>
            <w:tcW w:w="417" w:type="dxa"/>
            <w:tcBorders>
              <w:top w:val="single" w:sz="8" w:space="0" w:color="000000"/>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000000"/>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86.82 </w:t>
            </w:r>
          </w:p>
        </w:tc>
        <w:tc>
          <w:tcPr>
            <w:tcW w:w="1078" w:type="dxa"/>
            <w:tcBorders>
              <w:top w:val="single" w:sz="8" w:space="0" w:color="000000"/>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88.40 </w:t>
            </w:r>
          </w:p>
        </w:tc>
        <w:tc>
          <w:tcPr>
            <w:tcW w:w="817" w:type="dxa"/>
            <w:tcBorders>
              <w:top w:val="single" w:sz="8" w:space="0" w:color="000000"/>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92.51 </w:t>
            </w:r>
          </w:p>
        </w:tc>
        <w:tc>
          <w:tcPr>
            <w:tcW w:w="35" w:type="dxa"/>
            <w:tcBorders>
              <w:top w:val="single" w:sz="8" w:space="0" w:color="000000"/>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000000"/>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87.60 </w:t>
            </w:r>
          </w:p>
        </w:tc>
        <w:tc>
          <w:tcPr>
            <w:tcW w:w="1260" w:type="dxa"/>
            <w:tcBorders>
              <w:top w:val="single" w:sz="8" w:space="0" w:color="000000"/>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87.98 </w:t>
            </w:r>
          </w:p>
        </w:tc>
        <w:tc>
          <w:tcPr>
            <w:tcW w:w="801" w:type="dxa"/>
            <w:tcBorders>
              <w:top w:val="single" w:sz="8" w:space="0" w:color="000000"/>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90.36 </w:t>
            </w:r>
          </w:p>
        </w:tc>
      </w:tr>
      <w:tr w:rsidR="00F934C1" w:rsidRPr="00BB4B6E" w:rsidTr="00644636">
        <w:trPr>
          <w:trHeight w:val="236"/>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Syn nHA</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78.74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80.01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87.78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83.71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81.86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87.25 </w:t>
            </w:r>
          </w:p>
        </w:tc>
      </w:tr>
      <w:tr w:rsidR="00F934C1" w:rsidRPr="00BB4B6E" w:rsidTr="00644636">
        <w:trPr>
          <w:trHeight w:val="299"/>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 xml:space="preserve">Bone nHA +DAP </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80.38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79.68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90.72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85.77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86.03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83.13 </w:t>
            </w:r>
          </w:p>
        </w:tc>
      </w:tr>
      <w:tr w:rsidR="00F934C1" w:rsidRPr="00BB4B6E" w:rsidTr="00644636">
        <w:trPr>
          <w:trHeight w:val="227"/>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 xml:space="preserve">Syn nHA +DAP </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76.10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75.84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86.64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79.57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80.62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76.77 </w:t>
            </w:r>
          </w:p>
        </w:tc>
      </w:tr>
      <w:tr w:rsidR="00F934C1" w:rsidRPr="00BB4B6E" w:rsidTr="00644636">
        <w:trPr>
          <w:trHeight w:val="226"/>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 xml:space="preserve">Bone nHA+ NPK  </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77.45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80.84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85.43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76.19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87.64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81.51 </w:t>
            </w:r>
          </w:p>
        </w:tc>
      </w:tr>
      <w:tr w:rsidR="00F934C1" w:rsidRPr="00BB4B6E" w:rsidTr="00644636">
        <w:trPr>
          <w:trHeight w:val="227"/>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 xml:space="preserve">Syn nHA+ NPK  </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74.22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75.28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80.88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72.07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76.46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69.68 </w:t>
            </w:r>
          </w:p>
        </w:tc>
      </w:tr>
      <w:tr w:rsidR="00F934C1" w:rsidRPr="00BB4B6E" w:rsidTr="00644636">
        <w:trPr>
          <w:trHeight w:val="191"/>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rPr>
                <w:color w:val="000000" w:themeColor="text1"/>
              </w:rPr>
            </w:pPr>
            <w:r w:rsidRPr="00BB4B6E">
              <w:rPr>
                <w:color w:val="000000" w:themeColor="text1"/>
                <w:kern w:val="24"/>
              </w:rPr>
              <w:t>Bone nHA+DAP+NPK</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80.41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78.72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92.47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81.39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86.98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81.55 </w:t>
            </w:r>
          </w:p>
        </w:tc>
      </w:tr>
      <w:tr w:rsidR="00F934C1" w:rsidRPr="00BB4B6E" w:rsidTr="00644636">
        <w:trPr>
          <w:trHeight w:val="236"/>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240" w:lineRule="auto"/>
              <w:jc w:val="left"/>
              <w:rPr>
                <w:color w:val="000000" w:themeColor="text1"/>
              </w:rPr>
            </w:pPr>
            <w:r>
              <w:rPr>
                <w:color w:val="000000" w:themeColor="text1"/>
                <w:kern w:val="24"/>
              </w:rPr>
              <w:t>S</w:t>
            </w:r>
            <w:r w:rsidRPr="00BB4B6E">
              <w:rPr>
                <w:color w:val="000000" w:themeColor="text1"/>
                <w:kern w:val="24"/>
              </w:rPr>
              <w:t xml:space="preserve">yn </w:t>
            </w:r>
            <w:r>
              <w:rPr>
                <w:color w:val="000000" w:themeColor="text1"/>
                <w:kern w:val="24"/>
              </w:rPr>
              <w:t>n</w:t>
            </w:r>
            <w:r w:rsidRPr="00BB4B6E">
              <w:rPr>
                <w:color w:val="000000" w:themeColor="text1"/>
                <w:kern w:val="24"/>
              </w:rPr>
              <w:t xml:space="preserve">HA+DAP+NPK </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74.71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77.33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87.16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81.53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79.70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74.54 </w:t>
            </w:r>
          </w:p>
        </w:tc>
      </w:tr>
      <w:tr w:rsidR="00F934C1" w:rsidRPr="00BB4B6E" w:rsidTr="00644636">
        <w:trPr>
          <w:trHeight w:val="209"/>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 xml:space="preserve">DAP </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-43.43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-7.99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-18.20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-28.22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-29.58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-41.89 </w:t>
            </w:r>
          </w:p>
        </w:tc>
      </w:tr>
      <w:tr w:rsidR="00F934C1" w:rsidRPr="00BB4B6E" w:rsidTr="00644636">
        <w:trPr>
          <w:trHeight w:val="254"/>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 xml:space="preserve">NPK </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-43.14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-12.76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-26.09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-23.98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-31.51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-25.50 </w:t>
            </w:r>
          </w:p>
        </w:tc>
      </w:tr>
      <w:tr w:rsidR="00F934C1" w:rsidRPr="00BB4B6E" w:rsidTr="00644636">
        <w:trPr>
          <w:trHeight w:val="209"/>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 xml:space="preserve">DAP+NPK </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-16.37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-8.086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-17.14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-24.78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-28.53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-29.45 </w:t>
            </w:r>
          </w:p>
        </w:tc>
      </w:tr>
      <w:tr w:rsidR="00F934C1" w:rsidRPr="00BB4B6E" w:rsidTr="00644636">
        <w:trPr>
          <w:trHeight w:val="263"/>
        </w:trPr>
        <w:tc>
          <w:tcPr>
            <w:tcW w:w="1980" w:type="dxa"/>
            <w:tcBorders>
              <w:top w:val="single" w:sz="8" w:space="0" w:color="FFFFFF"/>
              <w:left w:val="single" w:sz="8" w:space="0" w:color="FFFFFF"/>
              <w:bottom w:val="single" w:sz="8" w:space="0" w:color="FFFFFF"/>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Non-treated control</w:t>
            </w:r>
          </w:p>
        </w:tc>
        <w:tc>
          <w:tcPr>
            <w:tcW w:w="417" w:type="dxa"/>
            <w:tcBorders>
              <w:top w:val="single" w:sz="8" w:space="0" w:color="FFFFFF"/>
              <w:left w:val="single" w:sz="8" w:space="0" w:color="000000"/>
              <w:bottom w:val="single" w:sz="8" w:space="0" w:color="FFFFFF"/>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198"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0.00 </w:t>
            </w:r>
          </w:p>
        </w:tc>
        <w:tc>
          <w:tcPr>
            <w:tcW w:w="1078"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0.00 </w:t>
            </w:r>
          </w:p>
        </w:tc>
        <w:tc>
          <w:tcPr>
            <w:tcW w:w="817" w:type="dxa"/>
            <w:tcBorders>
              <w:top w:val="single" w:sz="8" w:space="0" w:color="FFFFFF"/>
              <w:left w:val="single" w:sz="8" w:space="0" w:color="FFFFFF"/>
              <w:bottom w:val="single" w:sz="8" w:space="0" w:color="FFFFFF"/>
              <w:right w:val="single" w:sz="4" w:space="0" w:color="auto"/>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0.00 </w:t>
            </w:r>
          </w:p>
        </w:tc>
        <w:tc>
          <w:tcPr>
            <w:tcW w:w="35" w:type="dxa"/>
            <w:tcBorders>
              <w:top w:val="single" w:sz="8" w:space="0" w:color="FFFFFF"/>
              <w:left w:val="single" w:sz="4" w:space="0" w:color="auto"/>
              <w:bottom w:val="single" w:sz="8" w:space="0" w:color="FFFFFF"/>
              <w:right w:val="single" w:sz="8" w:space="0" w:color="FFFFFF"/>
            </w:tcBorders>
            <w:shd w:val="clear" w:color="auto" w:fill="FFFFFF"/>
            <w:vAlign w:val="bottom"/>
          </w:tcPr>
          <w:p w:rsidR="00F934C1" w:rsidRPr="00BB4B6E" w:rsidRDefault="00F934C1" w:rsidP="00F934C1">
            <w:pPr>
              <w:autoSpaceDE/>
              <w:autoSpaceDN/>
              <w:adjustRightInd/>
              <w:spacing w:line="360" w:lineRule="auto"/>
              <w:rPr>
                <w:color w:val="000000" w:themeColor="text1"/>
              </w:rPr>
            </w:pPr>
          </w:p>
        </w:tc>
        <w:tc>
          <w:tcPr>
            <w:tcW w:w="1054" w:type="dxa"/>
            <w:gridSpan w:val="2"/>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jc w:val="left"/>
              <w:rPr>
                <w:color w:val="000000" w:themeColor="text1"/>
              </w:rPr>
            </w:pPr>
            <w:r w:rsidRPr="00BB4B6E">
              <w:rPr>
                <w:rFonts w:eastAsia="Calibri"/>
                <w:color w:val="000000" w:themeColor="text1"/>
                <w:kern w:val="24"/>
              </w:rPr>
              <w:t xml:space="preserve">0.00 </w:t>
            </w:r>
          </w:p>
        </w:tc>
        <w:tc>
          <w:tcPr>
            <w:tcW w:w="1260" w:type="dxa"/>
            <w:tcBorders>
              <w:top w:val="single" w:sz="8" w:space="0" w:color="FFFFFF"/>
              <w:left w:val="single" w:sz="8" w:space="0" w:color="FFFFFF"/>
              <w:bottom w:val="single" w:sz="8" w:space="0" w:color="FFFFFF"/>
              <w:right w:val="single" w:sz="8" w:space="0" w:color="FFFFFF"/>
            </w:tcBorders>
            <w:shd w:val="clear" w:color="auto" w:fill="FFFFFF"/>
            <w:tcMar>
              <w:top w:w="14" w:type="dxa"/>
              <w:left w:w="108" w:type="dxa"/>
              <w:bottom w:w="0" w:type="dxa"/>
              <w:right w:w="108"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0.00 </w:t>
            </w:r>
          </w:p>
        </w:tc>
        <w:tc>
          <w:tcPr>
            <w:tcW w:w="801" w:type="dxa"/>
            <w:tcBorders>
              <w:top w:val="single" w:sz="8" w:space="0" w:color="FFFFFF"/>
              <w:left w:val="single" w:sz="8" w:space="0" w:color="FFFFFF"/>
              <w:bottom w:val="single" w:sz="8" w:space="0" w:color="FFFFFF"/>
              <w:right w:val="single" w:sz="8" w:space="0" w:color="FFFFFF"/>
            </w:tcBorders>
            <w:shd w:val="clear" w:color="auto" w:fill="FFFFFF"/>
            <w:tcMar>
              <w:top w:w="12" w:type="dxa"/>
              <w:left w:w="65" w:type="dxa"/>
              <w:bottom w:w="0" w:type="dxa"/>
              <w:right w:w="65" w:type="dxa"/>
            </w:tcMar>
            <w:vAlign w:val="bottom"/>
            <w:hideMark/>
          </w:tcPr>
          <w:p w:rsidR="00F934C1" w:rsidRPr="00BB4B6E" w:rsidRDefault="00F934C1" w:rsidP="00F934C1">
            <w:pPr>
              <w:autoSpaceDE/>
              <w:autoSpaceDN/>
              <w:adjustRightInd/>
              <w:spacing w:line="360" w:lineRule="auto"/>
              <w:rPr>
                <w:color w:val="000000" w:themeColor="text1"/>
              </w:rPr>
            </w:pPr>
            <w:r w:rsidRPr="00BB4B6E">
              <w:rPr>
                <w:color w:val="000000" w:themeColor="text1"/>
                <w:kern w:val="24"/>
              </w:rPr>
              <w:t xml:space="preserve">0.00 </w:t>
            </w:r>
          </w:p>
        </w:tc>
      </w:tr>
      <w:tr w:rsidR="00F934C1" w:rsidRPr="00BB4B6E" w:rsidTr="00644636">
        <w:trPr>
          <w:trHeight w:val="405"/>
        </w:trPr>
        <w:tc>
          <w:tcPr>
            <w:tcW w:w="1980" w:type="dxa"/>
            <w:tcBorders>
              <w:top w:val="single" w:sz="8" w:space="0" w:color="FFFFFF"/>
              <w:left w:val="single" w:sz="8" w:space="0" w:color="FFFFFF"/>
              <w:bottom w:val="single" w:sz="8" w:space="0" w:color="000000"/>
              <w:right w:val="single" w:sz="8" w:space="0" w:color="000000"/>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r w:rsidRPr="00BB4B6E">
              <w:rPr>
                <w:color w:val="000000" w:themeColor="text1"/>
                <w:kern w:val="24"/>
              </w:rPr>
              <w:t>P-value</w:t>
            </w:r>
          </w:p>
        </w:tc>
        <w:tc>
          <w:tcPr>
            <w:tcW w:w="417" w:type="dxa"/>
            <w:tcBorders>
              <w:top w:val="single" w:sz="8" w:space="0" w:color="FFFFFF"/>
              <w:left w:val="single" w:sz="8" w:space="0" w:color="000000"/>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2276" w:type="dxa"/>
            <w:gridSpan w:val="2"/>
            <w:tcBorders>
              <w:top w:val="single" w:sz="8" w:space="0" w:color="FFFFFF"/>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center"/>
              <w:rPr>
                <w:color w:val="000000" w:themeColor="text1"/>
              </w:rPr>
            </w:pPr>
            <w:r w:rsidRPr="00BB4B6E">
              <w:rPr>
                <w:color w:val="000000" w:themeColor="text1"/>
                <w:kern w:val="24"/>
              </w:rPr>
              <w:t>˂0.01</w:t>
            </w:r>
          </w:p>
        </w:tc>
        <w:tc>
          <w:tcPr>
            <w:tcW w:w="817" w:type="dxa"/>
            <w:tcBorders>
              <w:top w:val="single" w:sz="8" w:space="0" w:color="FFFFFF"/>
              <w:left w:val="single" w:sz="8" w:space="0" w:color="FFFFFF"/>
              <w:bottom w:val="single" w:sz="8" w:space="0" w:color="000000"/>
              <w:right w:val="single" w:sz="4" w:space="0" w:color="auto"/>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c>
          <w:tcPr>
            <w:tcW w:w="165" w:type="dxa"/>
            <w:gridSpan w:val="2"/>
            <w:tcBorders>
              <w:top w:val="single" w:sz="8" w:space="0" w:color="FFFFFF"/>
              <w:left w:val="single" w:sz="4" w:space="0" w:color="auto"/>
              <w:bottom w:val="single" w:sz="8" w:space="0" w:color="000000"/>
              <w:right w:val="single" w:sz="8" w:space="0" w:color="FFFFFF"/>
            </w:tcBorders>
            <w:shd w:val="clear" w:color="auto" w:fill="FFFFFF"/>
            <w:tcMar>
              <w:top w:w="12" w:type="dxa"/>
              <w:left w:w="65" w:type="dxa"/>
              <w:bottom w:w="0" w:type="dxa"/>
              <w:right w:w="65" w:type="dxa"/>
            </w:tcMar>
          </w:tcPr>
          <w:p w:rsidR="00F934C1" w:rsidRPr="00BB4B6E" w:rsidRDefault="00F934C1" w:rsidP="00F934C1">
            <w:pPr>
              <w:autoSpaceDE/>
              <w:autoSpaceDN/>
              <w:adjustRightInd/>
              <w:spacing w:line="360" w:lineRule="auto"/>
              <w:jc w:val="left"/>
              <w:rPr>
                <w:color w:val="000000" w:themeColor="text1"/>
              </w:rPr>
            </w:pPr>
          </w:p>
        </w:tc>
        <w:tc>
          <w:tcPr>
            <w:tcW w:w="2184" w:type="dxa"/>
            <w:gridSpan w:val="2"/>
            <w:tcBorders>
              <w:top w:val="single" w:sz="8" w:space="0" w:color="FFFFFF"/>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center"/>
              <w:rPr>
                <w:color w:val="000000" w:themeColor="text1"/>
              </w:rPr>
            </w:pPr>
            <w:r w:rsidRPr="00BB4B6E">
              <w:rPr>
                <w:color w:val="000000" w:themeColor="text1"/>
                <w:kern w:val="24"/>
              </w:rPr>
              <w:t>˂0.01</w:t>
            </w:r>
          </w:p>
        </w:tc>
        <w:tc>
          <w:tcPr>
            <w:tcW w:w="801" w:type="dxa"/>
            <w:tcBorders>
              <w:top w:val="single" w:sz="8" w:space="0" w:color="FFFFFF"/>
              <w:left w:val="single" w:sz="8" w:space="0" w:color="FFFFFF"/>
              <w:bottom w:val="single" w:sz="8" w:space="0" w:color="000000"/>
              <w:right w:val="single" w:sz="8" w:space="0" w:color="FFFFFF"/>
            </w:tcBorders>
            <w:shd w:val="clear" w:color="auto" w:fill="FFFFFF"/>
            <w:tcMar>
              <w:top w:w="12" w:type="dxa"/>
              <w:left w:w="65" w:type="dxa"/>
              <w:bottom w:w="0" w:type="dxa"/>
              <w:right w:w="65" w:type="dxa"/>
            </w:tcMar>
            <w:hideMark/>
          </w:tcPr>
          <w:p w:rsidR="00F934C1" w:rsidRPr="00BB4B6E" w:rsidRDefault="00F934C1" w:rsidP="00F934C1">
            <w:pPr>
              <w:autoSpaceDE/>
              <w:autoSpaceDN/>
              <w:adjustRightInd/>
              <w:spacing w:line="360" w:lineRule="auto"/>
              <w:jc w:val="left"/>
              <w:rPr>
                <w:color w:val="000000" w:themeColor="text1"/>
              </w:rPr>
            </w:pPr>
          </w:p>
        </w:tc>
      </w:tr>
    </w:tbl>
    <w:p w:rsidR="00F934C1" w:rsidRPr="00BB4B6E" w:rsidRDefault="00F934C1" w:rsidP="00F934C1">
      <w:pPr>
        <w:rPr>
          <w:color w:val="000000"/>
        </w:rPr>
      </w:pPr>
    </w:p>
    <w:p w:rsidR="00F934C1" w:rsidRPr="00BB4B6E" w:rsidRDefault="00F934C1" w:rsidP="00F934C1">
      <w:pPr>
        <w:spacing w:line="240" w:lineRule="auto"/>
        <w:rPr>
          <w:b/>
        </w:rPr>
      </w:pPr>
    </w:p>
    <w:p w:rsidR="00F934C1" w:rsidRPr="00BB4B6E" w:rsidRDefault="00F934C1" w:rsidP="00F934C1">
      <w:pPr>
        <w:spacing w:line="240" w:lineRule="auto"/>
        <w:rPr>
          <w:b/>
        </w:rPr>
      </w:pPr>
    </w:p>
    <w:p w:rsidR="00F934C1" w:rsidRPr="00BB4B6E" w:rsidRDefault="00F934C1" w:rsidP="00F934C1">
      <w:pPr>
        <w:autoSpaceDE/>
        <w:autoSpaceDN/>
        <w:adjustRightInd/>
        <w:spacing w:after="200" w:line="276" w:lineRule="auto"/>
        <w:jc w:val="left"/>
        <w:rPr>
          <w:b/>
        </w:rPr>
      </w:pPr>
      <w:r w:rsidRPr="00BB4B6E">
        <w:rPr>
          <w:b/>
        </w:rPr>
        <w:br w:type="page"/>
      </w:r>
    </w:p>
    <w:p w:rsidR="00F934C1" w:rsidRPr="00BB4B6E" w:rsidRDefault="00F934C1" w:rsidP="00F934C1">
      <w:pPr>
        <w:pStyle w:val="Heading2"/>
      </w:pPr>
      <w:bookmarkStart w:id="310" w:name="_Toc112880621"/>
      <w:bookmarkStart w:id="311" w:name="_Toc144820084"/>
      <w:r w:rsidRPr="00BB4B6E">
        <w:lastRenderedPageBreak/>
        <w:t>Appendix II: Percentage effect on height growth performance of kales, spinach and beans at maturity (After 90 days)</w:t>
      </w:r>
      <w:bookmarkEnd w:id="310"/>
      <w:bookmarkEnd w:id="311"/>
    </w:p>
    <w:p w:rsidR="00F934C1" w:rsidRPr="00BB4B6E" w:rsidRDefault="00F934C1" w:rsidP="00F934C1">
      <w:pPr>
        <w:spacing w:line="240" w:lineRule="auto"/>
        <w:rPr>
          <w:b/>
        </w:rPr>
      </w:pPr>
    </w:p>
    <w:tbl>
      <w:tblPr>
        <w:tblStyle w:val="TableGrid"/>
        <w:tblW w:w="0" w:type="auto"/>
        <w:tblInd w:w="108" w:type="dxa"/>
        <w:tblLook w:val="0000" w:firstRow="0" w:lastRow="0" w:firstColumn="0" w:lastColumn="0" w:noHBand="0" w:noVBand="0"/>
      </w:tblPr>
      <w:tblGrid>
        <w:gridCol w:w="1853"/>
        <w:gridCol w:w="1123"/>
        <w:gridCol w:w="982"/>
        <w:gridCol w:w="1197"/>
        <w:gridCol w:w="977"/>
        <w:gridCol w:w="1123"/>
        <w:gridCol w:w="1015"/>
      </w:tblGrid>
      <w:tr w:rsidR="00F934C1" w:rsidRPr="00BB4B6E" w:rsidTr="00F934C1">
        <w:trPr>
          <w:trHeight w:val="485"/>
        </w:trPr>
        <w:tc>
          <w:tcPr>
            <w:tcW w:w="1890" w:type="dxa"/>
            <w:tcBorders>
              <w:bottom w:val="nil"/>
            </w:tcBorders>
          </w:tcPr>
          <w:p w:rsidR="00F934C1" w:rsidRPr="00BB4B6E" w:rsidRDefault="00F934C1" w:rsidP="00F934C1">
            <w:pPr>
              <w:spacing w:line="240" w:lineRule="auto"/>
              <w:ind w:left="-5"/>
              <w:jc w:val="center"/>
              <w:rPr>
                <w:b/>
              </w:rPr>
            </w:pPr>
            <w:r w:rsidRPr="00BB4B6E">
              <w:rPr>
                <w:b/>
              </w:rPr>
              <w:t>TREATMENT</w:t>
            </w:r>
          </w:p>
          <w:p w:rsidR="00F934C1" w:rsidRPr="00BB4B6E" w:rsidRDefault="00F934C1" w:rsidP="00F934C1">
            <w:pPr>
              <w:spacing w:line="240" w:lineRule="auto"/>
              <w:ind w:left="-5"/>
              <w:jc w:val="center"/>
              <w:rPr>
                <w:b/>
              </w:rPr>
            </w:pPr>
          </w:p>
        </w:tc>
        <w:tc>
          <w:tcPr>
            <w:tcW w:w="2021" w:type="dxa"/>
            <w:gridSpan w:val="2"/>
            <w:tcBorders>
              <w:bottom w:val="single" w:sz="4" w:space="0" w:color="000000" w:themeColor="text1"/>
            </w:tcBorders>
          </w:tcPr>
          <w:p w:rsidR="00F934C1" w:rsidRPr="00BB4B6E" w:rsidRDefault="00F934C1" w:rsidP="00F934C1">
            <w:pPr>
              <w:spacing w:line="240" w:lineRule="auto"/>
              <w:jc w:val="center"/>
              <w:rPr>
                <w:b/>
              </w:rPr>
            </w:pPr>
            <w:r w:rsidRPr="00BB4B6E">
              <w:rPr>
                <w:b/>
              </w:rPr>
              <w:t>% increase in kales heights</w:t>
            </w:r>
          </w:p>
        </w:tc>
        <w:tc>
          <w:tcPr>
            <w:tcW w:w="1226" w:type="dxa"/>
            <w:tcBorders>
              <w:bottom w:val="single" w:sz="4" w:space="0" w:color="000000" w:themeColor="text1"/>
              <w:right w:val="nil"/>
            </w:tcBorders>
          </w:tcPr>
          <w:p w:rsidR="00F934C1" w:rsidRPr="00BB4B6E" w:rsidRDefault="00F934C1" w:rsidP="00F934C1">
            <w:pPr>
              <w:spacing w:line="240" w:lineRule="auto"/>
              <w:ind w:left="-5"/>
              <w:jc w:val="center"/>
              <w:rPr>
                <w:b/>
              </w:rPr>
            </w:pPr>
            <w:r w:rsidRPr="00BB4B6E">
              <w:rPr>
                <w:b/>
              </w:rPr>
              <w:t>% increase in spinach heights</w:t>
            </w:r>
          </w:p>
        </w:tc>
        <w:tc>
          <w:tcPr>
            <w:tcW w:w="1016" w:type="dxa"/>
            <w:tcBorders>
              <w:left w:val="nil"/>
              <w:bottom w:val="single" w:sz="4" w:space="0" w:color="000000" w:themeColor="text1"/>
            </w:tcBorders>
          </w:tcPr>
          <w:p w:rsidR="00F934C1" w:rsidRPr="00BB4B6E" w:rsidRDefault="00F934C1" w:rsidP="00F934C1">
            <w:pPr>
              <w:spacing w:line="240" w:lineRule="auto"/>
              <w:ind w:left="-5"/>
              <w:jc w:val="center"/>
              <w:rPr>
                <w:b/>
              </w:rPr>
            </w:pPr>
          </w:p>
        </w:tc>
        <w:tc>
          <w:tcPr>
            <w:tcW w:w="2117" w:type="dxa"/>
            <w:gridSpan w:val="2"/>
            <w:tcBorders>
              <w:bottom w:val="single" w:sz="4" w:space="0" w:color="000000" w:themeColor="text1"/>
            </w:tcBorders>
          </w:tcPr>
          <w:p w:rsidR="00F934C1" w:rsidRPr="00BB4B6E" w:rsidRDefault="00F934C1" w:rsidP="00F934C1">
            <w:pPr>
              <w:spacing w:line="240" w:lineRule="auto"/>
              <w:ind w:left="-5"/>
              <w:jc w:val="center"/>
              <w:rPr>
                <w:b/>
              </w:rPr>
            </w:pPr>
            <w:r w:rsidRPr="00BB4B6E">
              <w:rPr>
                <w:b/>
              </w:rPr>
              <w:t>% increase in beans heights</w:t>
            </w:r>
          </w:p>
        </w:tc>
      </w:tr>
      <w:tr w:rsidR="00F934C1" w:rsidRPr="00BB4B6E" w:rsidTr="00F934C1">
        <w:tblPrEx>
          <w:tblLook w:val="04A0" w:firstRow="1" w:lastRow="0" w:firstColumn="1" w:lastColumn="0" w:noHBand="0" w:noVBand="1"/>
        </w:tblPrEx>
        <w:tc>
          <w:tcPr>
            <w:tcW w:w="1890" w:type="dxa"/>
            <w:tcBorders>
              <w:top w:val="nil"/>
            </w:tcBorders>
          </w:tcPr>
          <w:p w:rsidR="00F934C1" w:rsidRPr="00BB4B6E" w:rsidRDefault="00F934C1" w:rsidP="00F934C1">
            <w:pPr>
              <w:spacing w:line="240" w:lineRule="auto"/>
            </w:pPr>
          </w:p>
        </w:tc>
        <w:tc>
          <w:tcPr>
            <w:tcW w:w="998" w:type="dxa"/>
            <w:tcBorders>
              <w:bottom w:val="single" w:sz="4" w:space="0" w:color="auto"/>
              <w:right w:val="nil"/>
            </w:tcBorders>
          </w:tcPr>
          <w:p w:rsidR="00F934C1" w:rsidRPr="00BB4B6E" w:rsidRDefault="00F934C1" w:rsidP="00F934C1">
            <w:pPr>
              <w:spacing w:line="240" w:lineRule="auto"/>
            </w:pPr>
            <w:r w:rsidRPr="00BB4B6E">
              <w:t>Synthetic nHA</w:t>
            </w:r>
          </w:p>
        </w:tc>
        <w:tc>
          <w:tcPr>
            <w:tcW w:w="1023" w:type="dxa"/>
            <w:tcBorders>
              <w:left w:val="nil"/>
              <w:bottom w:val="single" w:sz="4" w:space="0" w:color="auto"/>
              <w:right w:val="single" w:sz="8" w:space="0" w:color="000000"/>
            </w:tcBorders>
          </w:tcPr>
          <w:p w:rsidR="00F934C1" w:rsidRPr="00BB4B6E" w:rsidRDefault="00F934C1" w:rsidP="00F934C1">
            <w:pPr>
              <w:spacing w:line="240" w:lineRule="auto"/>
            </w:pPr>
            <w:r w:rsidRPr="00BB4B6E">
              <w:t>Bone nHA</w:t>
            </w:r>
          </w:p>
        </w:tc>
        <w:tc>
          <w:tcPr>
            <w:tcW w:w="1226" w:type="dxa"/>
            <w:tcBorders>
              <w:left w:val="single" w:sz="8" w:space="0" w:color="000000"/>
              <w:bottom w:val="single" w:sz="4" w:space="0" w:color="auto"/>
              <w:right w:val="nil"/>
            </w:tcBorders>
          </w:tcPr>
          <w:p w:rsidR="00F934C1" w:rsidRPr="00BB4B6E" w:rsidRDefault="00F934C1" w:rsidP="00F934C1">
            <w:pPr>
              <w:spacing w:line="240" w:lineRule="auto"/>
            </w:pPr>
            <w:r w:rsidRPr="00BB4B6E">
              <w:t>Synthetic nHA</w:t>
            </w:r>
          </w:p>
        </w:tc>
        <w:tc>
          <w:tcPr>
            <w:tcW w:w="1016" w:type="dxa"/>
            <w:tcBorders>
              <w:left w:val="nil"/>
              <w:bottom w:val="single" w:sz="4" w:space="0" w:color="auto"/>
              <w:right w:val="single" w:sz="8" w:space="0" w:color="000000"/>
            </w:tcBorders>
          </w:tcPr>
          <w:p w:rsidR="00F934C1" w:rsidRPr="00BB4B6E" w:rsidRDefault="00F934C1" w:rsidP="00F934C1">
            <w:pPr>
              <w:spacing w:line="240" w:lineRule="auto"/>
            </w:pPr>
            <w:r w:rsidRPr="00BB4B6E">
              <w:t xml:space="preserve">Bone </w:t>
            </w:r>
          </w:p>
          <w:p w:rsidR="00F934C1" w:rsidRPr="00BB4B6E" w:rsidRDefault="00F934C1" w:rsidP="00F934C1">
            <w:pPr>
              <w:spacing w:line="240" w:lineRule="auto"/>
            </w:pPr>
            <w:r w:rsidRPr="00BB4B6E">
              <w:t>nHA</w:t>
            </w:r>
          </w:p>
        </w:tc>
        <w:tc>
          <w:tcPr>
            <w:tcW w:w="1048" w:type="dxa"/>
            <w:tcBorders>
              <w:left w:val="single" w:sz="8" w:space="0" w:color="000000"/>
              <w:bottom w:val="single" w:sz="4" w:space="0" w:color="auto"/>
              <w:right w:val="nil"/>
            </w:tcBorders>
          </w:tcPr>
          <w:p w:rsidR="00F934C1" w:rsidRPr="00BB4B6E" w:rsidRDefault="00F934C1" w:rsidP="00F934C1">
            <w:pPr>
              <w:spacing w:line="240" w:lineRule="auto"/>
            </w:pPr>
            <w:r w:rsidRPr="00BB4B6E">
              <w:t>Synthetic nHA</w:t>
            </w:r>
          </w:p>
        </w:tc>
        <w:tc>
          <w:tcPr>
            <w:tcW w:w="1069" w:type="dxa"/>
            <w:tcBorders>
              <w:left w:val="nil"/>
              <w:bottom w:val="single" w:sz="4" w:space="0" w:color="auto"/>
            </w:tcBorders>
          </w:tcPr>
          <w:p w:rsidR="00F934C1" w:rsidRPr="00BB4B6E" w:rsidRDefault="00F934C1" w:rsidP="00F934C1">
            <w:pPr>
              <w:spacing w:line="240" w:lineRule="auto"/>
            </w:pPr>
            <w:r w:rsidRPr="00BB4B6E">
              <w:t>Bone nHA</w:t>
            </w:r>
          </w:p>
        </w:tc>
      </w:tr>
      <w:tr w:rsidR="00F934C1" w:rsidRPr="00BB4B6E" w:rsidTr="00F934C1">
        <w:tblPrEx>
          <w:tblLook w:val="04A0" w:firstRow="1" w:lastRow="0" w:firstColumn="1" w:lastColumn="0" w:noHBand="0" w:noVBand="1"/>
        </w:tblPrEx>
        <w:tc>
          <w:tcPr>
            <w:tcW w:w="1890" w:type="dxa"/>
            <w:tcBorders>
              <w:bottom w:val="nil"/>
              <w:right w:val="single" w:sz="8" w:space="0" w:color="000000"/>
            </w:tcBorders>
          </w:tcPr>
          <w:p w:rsidR="00F934C1" w:rsidRPr="00BB4B6E" w:rsidRDefault="00F934C1" w:rsidP="00F934C1">
            <w:r w:rsidRPr="00BB4B6E">
              <w:t>nHA</w:t>
            </w:r>
          </w:p>
        </w:tc>
        <w:tc>
          <w:tcPr>
            <w:tcW w:w="998" w:type="dxa"/>
            <w:tcBorders>
              <w:top w:val="single" w:sz="4" w:space="0" w:color="auto"/>
              <w:left w:val="single" w:sz="8" w:space="0" w:color="000000"/>
              <w:bottom w:val="nil"/>
              <w:right w:val="nil"/>
            </w:tcBorders>
            <w:shd w:val="clear" w:color="auto" w:fill="auto"/>
            <w:vAlign w:val="bottom"/>
          </w:tcPr>
          <w:p w:rsidR="00F934C1" w:rsidRPr="00BB4B6E" w:rsidRDefault="00F934C1" w:rsidP="00F934C1">
            <w:pPr>
              <w:rPr>
                <w:color w:val="000000"/>
              </w:rPr>
            </w:pPr>
            <w:r w:rsidRPr="00BB4B6E">
              <w:rPr>
                <w:color w:val="000000"/>
              </w:rPr>
              <w:t>149.55</w:t>
            </w:r>
          </w:p>
        </w:tc>
        <w:tc>
          <w:tcPr>
            <w:tcW w:w="1023" w:type="dxa"/>
            <w:tcBorders>
              <w:top w:val="single" w:sz="4" w:space="0" w:color="auto"/>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154.55</w:t>
            </w:r>
          </w:p>
        </w:tc>
        <w:tc>
          <w:tcPr>
            <w:tcW w:w="1226" w:type="dxa"/>
            <w:tcBorders>
              <w:top w:val="single" w:sz="4" w:space="0" w:color="auto"/>
              <w:left w:val="single" w:sz="8" w:space="0" w:color="000000"/>
              <w:bottom w:val="nil"/>
              <w:right w:val="nil"/>
            </w:tcBorders>
          </w:tcPr>
          <w:p w:rsidR="00F934C1" w:rsidRPr="00BB4B6E" w:rsidRDefault="00F934C1" w:rsidP="00F934C1">
            <w:pPr>
              <w:rPr>
                <w:color w:val="000000"/>
              </w:rPr>
            </w:pPr>
            <w:r w:rsidRPr="00BB4B6E">
              <w:rPr>
                <w:color w:val="000000"/>
              </w:rPr>
              <w:t>100.00</w:t>
            </w:r>
          </w:p>
        </w:tc>
        <w:tc>
          <w:tcPr>
            <w:tcW w:w="1016" w:type="dxa"/>
            <w:tcBorders>
              <w:top w:val="single" w:sz="4" w:space="0" w:color="auto"/>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123.35</w:t>
            </w:r>
          </w:p>
        </w:tc>
        <w:tc>
          <w:tcPr>
            <w:tcW w:w="1048" w:type="dxa"/>
            <w:tcBorders>
              <w:top w:val="single" w:sz="4" w:space="0" w:color="auto"/>
              <w:left w:val="single" w:sz="8" w:space="0" w:color="000000"/>
              <w:bottom w:val="nil"/>
              <w:right w:val="nil"/>
            </w:tcBorders>
          </w:tcPr>
          <w:p w:rsidR="00F934C1" w:rsidRPr="00BB4B6E" w:rsidRDefault="00F934C1" w:rsidP="00F934C1">
            <w:pPr>
              <w:rPr>
                <w:color w:val="000000"/>
              </w:rPr>
            </w:pPr>
            <w:r w:rsidRPr="00BB4B6E">
              <w:rPr>
                <w:color w:val="000000"/>
              </w:rPr>
              <w:t>179.47</w:t>
            </w:r>
          </w:p>
        </w:tc>
        <w:tc>
          <w:tcPr>
            <w:tcW w:w="1069" w:type="dxa"/>
            <w:tcBorders>
              <w:top w:val="single" w:sz="4" w:space="0" w:color="auto"/>
              <w:left w:val="nil"/>
              <w:bottom w:val="nil"/>
              <w:right w:val="single" w:sz="4" w:space="0" w:color="auto"/>
            </w:tcBorders>
            <w:shd w:val="clear" w:color="auto" w:fill="auto"/>
            <w:vAlign w:val="bottom"/>
          </w:tcPr>
          <w:p w:rsidR="00F934C1" w:rsidRPr="00BB4B6E" w:rsidRDefault="00F934C1" w:rsidP="00F934C1">
            <w:pPr>
              <w:rPr>
                <w:color w:val="000000"/>
              </w:rPr>
            </w:pPr>
            <w:r w:rsidRPr="00BB4B6E">
              <w:rPr>
                <w:color w:val="000000"/>
              </w:rPr>
              <w:t>202.40</w:t>
            </w:r>
          </w:p>
        </w:tc>
      </w:tr>
      <w:tr w:rsidR="00F934C1" w:rsidRPr="00BB4B6E" w:rsidTr="00F934C1">
        <w:tblPrEx>
          <w:tblLook w:val="04A0" w:firstRow="1" w:lastRow="0" w:firstColumn="1" w:lastColumn="0" w:noHBand="0" w:noVBand="1"/>
        </w:tblPrEx>
        <w:tc>
          <w:tcPr>
            <w:tcW w:w="1890" w:type="dxa"/>
            <w:tcBorders>
              <w:top w:val="nil"/>
              <w:bottom w:val="nil"/>
              <w:right w:val="single" w:sz="8" w:space="0" w:color="000000"/>
            </w:tcBorders>
          </w:tcPr>
          <w:p w:rsidR="00F934C1" w:rsidRPr="00BB4B6E" w:rsidRDefault="00F934C1" w:rsidP="00F934C1">
            <w:r w:rsidRPr="00BB4B6E">
              <w:t xml:space="preserve">nHA +DAP </w:t>
            </w:r>
          </w:p>
        </w:tc>
        <w:tc>
          <w:tcPr>
            <w:tcW w:w="998" w:type="dxa"/>
            <w:tcBorders>
              <w:top w:val="nil"/>
              <w:left w:val="single" w:sz="8" w:space="0" w:color="000000"/>
              <w:bottom w:val="nil"/>
              <w:right w:val="nil"/>
            </w:tcBorders>
            <w:shd w:val="clear" w:color="auto" w:fill="auto"/>
            <w:vAlign w:val="bottom"/>
          </w:tcPr>
          <w:p w:rsidR="00F934C1" w:rsidRPr="00BB4B6E" w:rsidRDefault="00F934C1" w:rsidP="00F934C1">
            <w:pPr>
              <w:rPr>
                <w:color w:val="000000"/>
              </w:rPr>
            </w:pPr>
            <w:r w:rsidRPr="00BB4B6E">
              <w:rPr>
                <w:color w:val="000000"/>
              </w:rPr>
              <w:t>158.29</w:t>
            </w:r>
          </w:p>
        </w:tc>
        <w:tc>
          <w:tcPr>
            <w:tcW w:w="1023"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165.67</w:t>
            </w:r>
          </w:p>
        </w:tc>
        <w:tc>
          <w:tcPr>
            <w:tcW w:w="1226"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103.35</w:t>
            </w:r>
          </w:p>
        </w:tc>
        <w:tc>
          <w:tcPr>
            <w:tcW w:w="1016"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116.65</w:t>
            </w:r>
          </w:p>
        </w:tc>
        <w:tc>
          <w:tcPr>
            <w:tcW w:w="1048"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184.31</w:t>
            </w:r>
          </w:p>
        </w:tc>
        <w:tc>
          <w:tcPr>
            <w:tcW w:w="1069" w:type="dxa"/>
            <w:tcBorders>
              <w:top w:val="nil"/>
              <w:left w:val="nil"/>
              <w:bottom w:val="nil"/>
              <w:right w:val="single" w:sz="4" w:space="0" w:color="auto"/>
            </w:tcBorders>
            <w:shd w:val="clear" w:color="auto" w:fill="auto"/>
            <w:vAlign w:val="bottom"/>
          </w:tcPr>
          <w:p w:rsidR="00F934C1" w:rsidRPr="00BB4B6E" w:rsidRDefault="00F934C1" w:rsidP="00F934C1">
            <w:pPr>
              <w:rPr>
                <w:color w:val="000000"/>
              </w:rPr>
            </w:pPr>
            <w:r w:rsidRPr="00BB4B6E">
              <w:rPr>
                <w:color w:val="000000"/>
              </w:rPr>
              <w:t>197.67</w:t>
            </w:r>
          </w:p>
        </w:tc>
      </w:tr>
      <w:tr w:rsidR="00F934C1" w:rsidRPr="00BB4B6E" w:rsidTr="00F934C1">
        <w:tblPrEx>
          <w:tblLook w:val="04A0" w:firstRow="1" w:lastRow="0" w:firstColumn="1" w:lastColumn="0" w:noHBand="0" w:noVBand="1"/>
        </w:tblPrEx>
        <w:tc>
          <w:tcPr>
            <w:tcW w:w="1890" w:type="dxa"/>
            <w:tcBorders>
              <w:top w:val="nil"/>
              <w:bottom w:val="nil"/>
              <w:right w:val="single" w:sz="8" w:space="0" w:color="000000"/>
            </w:tcBorders>
          </w:tcPr>
          <w:p w:rsidR="00F934C1" w:rsidRPr="00BB4B6E" w:rsidRDefault="00F934C1" w:rsidP="00F934C1">
            <w:r w:rsidRPr="00BB4B6E">
              <w:t xml:space="preserve">nHA+ NPK  </w:t>
            </w:r>
          </w:p>
        </w:tc>
        <w:tc>
          <w:tcPr>
            <w:tcW w:w="998" w:type="dxa"/>
            <w:tcBorders>
              <w:top w:val="nil"/>
              <w:left w:val="single" w:sz="8" w:space="0" w:color="000000"/>
              <w:bottom w:val="nil"/>
              <w:right w:val="nil"/>
            </w:tcBorders>
            <w:shd w:val="clear" w:color="auto" w:fill="auto"/>
            <w:vAlign w:val="bottom"/>
          </w:tcPr>
          <w:p w:rsidR="00F934C1" w:rsidRPr="00BB4B6E" w:rsidRDefault="00F934C1" w:rsidP="00F934C1">
            <w:pPr>
              <w:rPr>
                <w:color w:val="000000"/>
              </w:rPr>
            </w:pPr>
            <w:r w:rsidRPr="00BB4B6E">
              <w:rPr>
                <w:color w:val="000000"/>
              </w:rPr>
              <w:t>112.64</w:t>
            </w:r>
          </w:p>
        </w:tc>
        <w:tc>
          <w:tcPr>
            <w:tcW w:w="1023"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216.15</w:t>
            </w:r>
          </w:p>
        </w:tc>
        <w:tc>
          <w:tcPr>
            <w:tcW w:w="1226"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65.00</w:t>
            </w:r>
          </w:p>
        </w:tc>
        <w:tc>
          <w:tcPr>
            <w:tcW w:w="1016"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146.65</w:t>
            </w:r>
          </w:p>
        </w:tc>
        <w:tc>
          <w:tcPr>
            <w:tcW w:w="1048"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165.01</w:t>
            </w:r>
          </w:p>
        </w:tc>
        <w:tc>
          <w:tcPr>
            <w:tcW w:w="1069" w:type="dxa"/>
            <w:tcBorders>
              <w:top w:val="nil"/>
              <w:left w:val="nil"/>
              <w:bottom w:val="nil"/>
              <w:right w:val="single" w:sz="4" w:space="0" w:color="auto"/>
            </w:tcBorders>
            <w:shd w:val="clear" w:color="auto" w:fill="auto"/>
            <w:vAlign w:val="bottom"/>
          </w:tcPr>
          <w:p w:rsidR="00F934C1" w:rsidRPr="00BB4B6E" w:rsidRDefault="00F934C1" w:rsidP="00F934C1">
            <w:pPr>
              <w:rPr>
                <w:color w:val="000000"/>
              </w:rPr>
            </w:pPr>
            <w:r w:rsidRPr="00BB4B6E">
              <w:rPr>
                <w:color w:val="000000"/>
              </w:rPr>
              <w:t>167.10</w:t>
            </w:r>
          </w:p>
        </w:tc>
      </w:tr>
      <w:tr w:rsidR="00F934C1" w:rsidRPr="00BB4B6E" w:rsidTr="00F934C1">
        <w:tblPrEx>
          <w:tblLook w:val="04A0" w:firstRow="1" w:lastRow="0" w:firstColumn="1" w:lastColumn="0" w:noHBand="0" w:noVBand="1"/>
        </w:tblPrEx>
        <w:tc>
          <w:tcPr>
            <w:tcW w:w="1890" w:type="dxa"/>
            <w:tcBorders>
              <w:top w:val="nil"/>
              <w:bottom w:val="nil"/>
              <w:right w:val="single" w:sz="8" w:space="0" w:color="000000"/>
            </w:tcBorders>
          </w:tcPr>
          <w:p w:rsidR="00F934C1" w:rsidRPr="00BB4B6E" w:rsidRDefault="00F934C1" w:rsidP="00F934C1">
            <w:r w:rsidRPr="00BB4B6E">
              <w:t>nHA+DAP-NPK</w:t>
            </w:r>
          </w:p>
        </w:tc>
        <w:tc>
          <w:tcPr>
            <w:tcW w:w="998" w:type="dxa"/>
            <w:tcBorders>
              <w:top w:val="nil"/>
              <w:left w:val="single" w:sz="8" w:space="0" w:color="000000"/>
              <w:bottom w:val="nil"/>
              <w:right w:val="nil"/>
            </w:tcBorders>
            <w:shd w:val="clear" w:color="auto" w:fill="auto"/>
            <w:vAlign w:val="bottom"/>
          </w:tcPr>
          <w:p w:rsidR="00F934C1" w:rsidRPr="00BB4B6E" w:rsidRDefault="00F934C1" w:rsidP="00F934C1">
            <w:pPr>
              <w:rPr>
                <w:color w:val="000000"/>
              </w:rPr>
            </w:pPr>
            <w:r w:rsidRPr="00BB4B6E">
              <w:rPr>
                <w:color w:val="000000"/>
              </w:rPr>
              <w:t>104.86</w:t>
            </w:r>
          </w:p>
        </w:tc>
        <w:tc>
          <w:tcPr>
            <w:tcW w:w="1023"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166.67</w:t>
            </w:r>
          </w:p>
        </w:tc>
        <w:tc>
          <w:tcPr>
            <w:tcW w:w="1226"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50.00</w:t>
            </w:r>
          </w:p>
        </w:tc>
        <w:tc>
          <w:tcPr>
            <w:tcW w:w="1016"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125.0</w:t>
            </w:r>
          </w:p>
        </w:tc>
        <w:tc>
          <w:tcPr>
            <w:tcW w:w="1048"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163.82</w:t>
            </w:r>
          </w:p>
        </w:tc>
        <w:tc>
          <w:tcPr>
            <w:tcW w:w="1069" w:type="dxa"/>
            <w:tcBorders>
              <w:top w:val="nil"/>
              <w:left w:val="nil"/>
              <w:bottom w:val="nil"/>
              <w:right w:val="single" w:sz="4" w:space="0" w:color="auto"/>
            </w:tcBorders>
            <w:shd w:val="clear" w:color="auto" w:fill="auto"/>
            <w:vAlign w:val="bottom"/>
          </w:tcPr>
          <w:p w:rsidR="00F934C1" w:rsidRPr="00BB4B6E" w:rsidRDefault="00F934C1" w:rsidP="00F934C1">
            <w:pPr>
              <w:rPr>
                <w:color w:val="000000"/>
              </w:rPr>
            </w:pPr>
            <w:r w:rsidRPr="00BB4B6E">
              <w:rPr>
                <w:color w:val="000000"/>
              </w:rPr>
              <w:t>185.92</w:t>
            </w:r>
          </w:p>
        </w:tc>
      </w:tr>
      <w:tr w:rsidR="00F934C1" w:rsidRPr="00BB4B6E" w:rsidTr="00F934C1">
        <w:tblPrEx>
          <w:tblLook w:val="04A0" w:firstRow="1" w:lastRow="0" w:firstColumn="1" w:lastColumn="0" w:noHBand="0" w:noVBand="1"/>
        </w:tblPrEx>
        <w:tc>
          <w:tcPr>
            <w:tcW w:w="1890" w:type="dxa"/>
            <w:tcBorders>
              <w:top w:val="nil"/>
              <w:bottom w:val="nil"/>
              <w:right w:val="single" w:sz="8" w:space="0" w:color="000000"/>
            </w:tcBorders>
          </w:tcPr>
          <w:p w:rsidR="00F934C1" w:rsidRPr="00BB4B6E" w:rsidRDefault="00F934C1" w:rsidP="00F934C1">
            <w:r w:rsidRPr="00BB4B6E">
              <w:t xml:space="preserve">DAP </w:t>
            </w:r>
          </w:p>
        </w:tc>
        <w:tc>
          <w:tcPr>
            <w:tcW w:w="998" w:type="dxa"/>
            <w:tcBorders>
              <w:top w:val="nil"/>
              <w:left w:val="single" w:sz="8" w:space="0" w:color="000000"/>
              <w:bottom w:val="nil"/>
              <w:right w:val="nil"/>
            </w:tcBorders>
            <w:shd w:val="clear" w:color="auto" w:fill="auto"/>
            <w:vAlign w:val="bottom"/>
          </w:tcPr>
          <w:p w:rsidR="00F934C1" w:rsidRPr="00BB4B6E" w:rsidRDefault="00F934C1" w:rsidP="00F934C1">
            <w:pPr>
              <w:rPr>
                <w:color w:val="000000"/>
              </w:rPr>
            </w:pPr>
            <w:r w:rsidRPr="00BB4B6E">
              <w:rPr>
                <w:color w:val="000000"/>
              </w:rPr>
              <w:t>30.12</w:t>
            </w:r>
          </w:p>
        </w:tc>
        <w:tc>
          <w:tcPr>
            <w:tcW w:w="1023"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39.40</w:t>
            </w:r>
          </w:p>
        </w:tc>
        <w:tc>
          <w:tcPr>
            <w:tcW w:w="1226"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6.65</w:t>
            </w:r>
          </w:p>
        </w:tc>
        <w:tc>
          <w:tcPr>
            <w:tcW w:w="1016"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20.00</w:t>
            </w:r>
          </w:p>
        </w:tc>
        <w:tc>
          <w:tcPr>
            <w:tcW w:w="1048"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49.37</w:t>
            </w:r>
          </w:p>
        </w:tc>
        <w:tc>
          <w:tcPr>
            <w:tcW w:w="1069" w:type="dxa"/>
            <w:tcBorders>
              <w:top w:val="nil"/>
              <w:left w:val="nil"/>
              <w:bottom w:val="nil"/>
              <w:right w:val="single" w:sz="4" w:space="0" w:color="auto"/>
            </w:tcBorders>
            <w:shd w:val="clear" w:color="auto" w:fill="auto"/>
            <w:vAlign w:val="bottom"/>
          </w:tcPr>
          <w:p w:rsidR="00F934C1" w:rsidRPr="00BB4B6E" w:rsidRDefault="00F934C1" w:rsidP="00F934C1">
            <w:pPr>
              <w:rPr>
                <w:color w:val="000000"/>
              </w:rPr>
            </w:pPr>
            <w:r w:rsidRPr="00BB4B6E">
              <w:rPr>
                <w:color w:val="000000"/>
              </w:rPr>
              <w:t>43.56</w:t>
            </w:r>
          </w:p>
        </w:tc>
      </w:tr>
      <w:tr w:rsidR="00F934C1" w:rsidRPr="00BB4B6E" w:rsidTr="00F934C1">
        <w:tblPrEx>
          <w:tblLook w:val="04A0" w:firstRow="1" w:lastRow="0" w:firstColumn="1" w:lastColumn="0" w:noHBand="0" w:noVBand="1"/>
        </w:tblPrEx>
        <w:tc>
          <w:tcPr>
            <w:tcW w:w="1890" w:type="dxa"/>
            <w:tcBorders>
              <w:top w:val="nil"/>
              <w:bottom w:val="nil"/>
              <w:right w:val="single" w:sz="8" w:space="0" w:color="000000"/>
            </w:tcBorders>
          </w:tcPr>
          <w:p w:rsidR="00F934C1" w:rsidRPr="00BB4B6E" w:rsidRDefault="00F934C1" w:rsidP="00F934C1">
            <w:r w:rsidRPr="00BB4B6E">
              <w:t xml:space="preserve">NPK </w:t>
            </w:r>
          </w:p>
        </w:tc>
        <w:tc>
          <w:tcPr>
            <w:tcW w:w="998" w:type="dxa"/>
            <w:tcBorders>
              <w:top w:val="nil"/>
              <w:left w:val="single" w:sz="8" w:space="0" w:color="000000"/>
              <w:bottom w:val="nil"/>
              <w:right w:val="nil"/>
            </w:tcBorders>
            <w:shd w:val="clear" w:color="auto" w:fill="auto"/>
            <w:vAlign w:val="bottom"/>
          </w:tcPr>
          <w:p w:rsidR="00F934C1" w:rsidRPr="00BB4B6E" w:rsidRDefault="00F934C1" w:rsidP="00F934C1">
            <w:pPr>
              <w:rPr>
                <w:color w:val="000000"/>
              </w:rPr>
            </w:pPr>
            <w:r w:rsidRPr="00BB4B6E">
              <w:rPr>
                <w:color w:val="000000"/>
              </w:rPr>
              <w:t>23.30</w:t>
            </w:r>
          </w:p>
        </w:tc>
        <w:tc>
          <w:tcPr>
            <w:tcW w:w="1023"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35.36</w:t>
            </w:r>
          </w:p>
        </w:tc>
        <w:tc>
          <w:tcPr>
            <w:tcW w:w="1226"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6.65</w:t>
            </w:r>
          </w:p>
        </w:tc>
        <w:tc>
          <w:tcPr>
            <w:tcW w:w="1016"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46.65</w:t>
            </w:r>
          </w:p>
        </w:tc>
        <w:tc>
          <w:tcPr>
            <w:tcW w:w="1048"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56.60</w:t>
            </w:r>
          </w:p>
        </w:tc>
        <w:tc>
          <w:tcPr>
            <w:tcW w:w="1069" w:type="dxa"/>
            <w:tcBorders>
              <w:top w:val="nil"/>
              <w:left w:val="nil"/>
              <w:bottom w:val="nil"/>
              <w:right w:val="single" w:sz="4" w:space="0" w:color="auto"/>
            </w:tcBorders>
            <w:shd w:val="clear" w:color="auto" w:fill="auto"/>
            <w:vAlign w:val="bottom"/>
          </w:tcPr>
          <w:p w:rsidR="00F934C1" w:rsidRPr="00BB4B6E" w:rsidRDefault="00F934C1" w:rsidP="00F934C1">
            <w:pPr>
              <w:rPr>
                <w:color w:val="000000"/>
              </w:rPr>
            </w:pPr>
            <w:r w:rsidRPr="00BB4B6E">
              <w:rPr>
                <w:color w:val="000000"/>
              </w:rPr>
              <w:t>60.00</w:t>
            </w:r>
          </w:p>
        </w:tc>
      </w:tr>
      <w:tr w:rsidR="00F934C1" w:rsidRPr="00BB4B6E" w:rsidTr="00F934C1">
        <w:tblPrEx>
          <w:tblLook w:val="04A0" w:firstRow="1" w:lastRow="0" w:firstColumn="1" w:lastColumn="0" w:noHBand="0" w:noVBand="1"/>
        </w:tblPrEx>
        <w:tc>
          <w:tcPr>
            <w:tcW w:w="1890" w:type="dxa"/>
            <w:tcBorders>
              <w:top w:val="nil"/>
              <w:bottom w:val="nil"/>
              <w:right w:val="single" w:sz="8" w:space="0" w:color="000000"/>
            </w:tcBorders>
          </w:tcPr>
          <w:p w:rsidR="00F934C1" w:rsidRPr="00BB4B6E" w:rsidRDefault="00F934C1" w:rsidP="00F934C1">
            <w:r w:rsidRPr="00BB4B6E">
              <w:t xml:space="preserve">DAP-NPK </w:t>
            </w:r>
          </w:p>
        </w:tc>
        <w:tc>
          <w:tcPr>
            <w:tcW w:w="998" w:type="dxa"/>
            <w:tcBorders>
              <w:top w:val="nil"/>
              <w:left w:val="single" w:sz="8" w:space="0" w:color="000000"/>
              <w:bottom w:val="nil"/>
              <w:right w:val="nil"/>
            </w:tcBorders>
            <w:shd w:val="clear" w:color="auto" w:fill="auto"/>
            <w:vAlign w:val="bottom"/>
          </w:tcPr>
          <w:p w:rsidR="00F934C1" w:rsidRPr="00BB4B6E" w:rsidRDefault="00F934C1" w:rsidP="00F934C1">
            <w:pPr>
              <w:rPr>
                <w:color w:val="000000"/>
              </w:rPr>
            </w:pPr>
            <w:r w:rsidRPr="00BB4B6E">
              <w:rPr>
                <w:color w:val="000000"/>
              </w:rPr>
              <w:t>32.04</w:t>
            </w:r>
          </w:p>
        </w:tc>
        <w:tc>
          <w:tcPr>
            <w:tcW w:w="1023"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41.42</w:t>
            </w:r>
          </w:p>
        </w:tc>
        <w:tc>
          <w:tcPr>
            <w:tcW w:w="1226"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16.75</w:t>
            </w:r>
          </w:p>
        </w:tc>
        <w:tc>
          <w:tcPr>
            <w:tcW w:w="1016"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41.65</w:t>
            </w:r>
          </w:p>
        </w:tc>
        <w:tc>
          <w:tcPr>
            <w:tcW w:w="1048"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69.85</w:t>
            </w:r>
          </w:p>
        </w:tc>
        <w:tc>
          <w:tcPr>
            <w:tcW w:w="1069" w:type="dxa"/>
            <w:tcBorders>
              <w:top w:val="nil"/>
              <w:left w:val="nil"/>
              <w:bottom w:val="nil"/>
              <w:right w:val="single" w:sz="4" w:space="0" w:color="auto"/>
            </w:tcBorders>
            <w:shd w:val="clear" w:color="auto" w:fill="auto"/>
            <w:vAlign w:val="bottom"/>
          </w:tcPr>
          <w:p w:rsidR="00F934C1" w:rsidRPr="00BB4B6E" w:rsidRDefault="00F934C1" w:rsidP="00F934C1">
            <w:pPr>
              <w:rPr>
                <w:color w:val="000000"/>
              </w:rPr>
            </w:pPr>
            <w:r w:rsidRPr="00BB4B6E">
              <w:rPr>
                <w:color w:val="000000"/>
              </w:rPr>
              <w:t>62.37</w:t>
            </w:r>
          </w:p>
        </w:tc>
      </w:tr>
      <w:tr w:rsidR="00F934C1" w:rsidRPr="00BB4B6E" w:rsidTr="00F934C1">
        <w:tblPrEx>
          <w:tblLook w:val="04A0" w:firstRow="1" w:lastRow="0" w:firstColumn="1" w:lastColumn="0" w:noHBand="0" w:noVBand="1"/>
        </w:tblPrEx>
        <w:tc>
          <w:tcPr>
            <w:tcW w:w="1890" w:type="dxa"/>
            <w:tcBorders>
              <w:top w:val="nil"/>
              <w:bottom w:val="nil"/>
              <w:right w:val="single" w:sz="8" w:space="0" w:color="000000"/>
            </w:tcBorders>
          </w:tcPr>
          <w:p w:rsidR="00F934C1" w:rsidRPr="00BB4B6E" w:rsidRDefault="00F934C1" w:rsidP="00F934C1">
            <w:pPr>
              <w:spacing w:line="240" w:lineRule="auto"/>
            </w:pPr>
            <w:r w:rsidRPr="00BB4B6E">
              <w:t>Non-treated control</w:t>
            </w:r>
          </w:p>
        </w:tc>
        <w:tc>
          <w:tcPr>
            <w:tcW w:w="998" w:type="dxa"/>
            <w:tcBorders>
              <w:top w:val="nil"/>
              <w:left w:val="single" w:sz="8" w:space="0" w:color="000000"/>
              <w:bottom w:val="nil"/>
              <w:right w:val="nil"/>
            </w:tcBorders>
            <w:shd w:val="clear" w:color="auto" w:fill="auto"/>
            <w:vAlign w:val="bottom"/>
          </w:tcPr>
          <w:p w:rsidR="00F934C1" w:rsidRPr="00BB4B6E" w:rsidRDefault="00F934C1" w:rsidP="00F934C1">
            <w:pPr>
              <w:rPr>
                <w:color w:val="000000"/>
              </w:rPr>
            </w:pPr>
            <w:r w:rsidRPr="00BB4B6E">
              <w:rPr>
                <w:color w:val="000000"/>
              </w:rPr>
              <w:t>0.0</w:t>
            </w:r>
            <w:r w:rsidRPr="00BB4B6E">
              <w:rPr>
                <w:color w:val="000000"/>
                <w:vertAlign w:val="superscript"/>
              </w:rPr>
              <w:t>d</w:t>
            </w:r>
          </w:p>
        </w:tc>
        <w:tc>
          <w:tcPr>
            <w:tcW w:w="1023"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0.0</w:t>
            </w:r>
            <w:r w:rsidRPr="00BB4B6E">
              <w:rPr>
                <w:color w:val="000000"/>
                <w:vertAlign w:val="superscript"/>
              </w:rPr>
              <w:t>c</w:t>
            </w:r>
          </w:p>
        </w:tc>
        <w:tc>
          <w:tcPr>
            <w:tcW w:w="1226"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0</w:t>
            </w:r>
          </w:p>
        </w:tc>
        <w:tc>
          <w:tcPr>
            <w:tcW w:w="1016" w:type="dxa"/>
            <w:tcBorders>
              <w:top w:val="nil"/>
              <w:left w:val="nil"/>
              <w:bottom w:val="nil"/>
              <w:right w:val="single" w:sz="8" w:space="0" w:color="000000"/>
            </w:tcBorders>
            <w:shd w:val="clear" w:color="auto" w:fill="auto"/>
            <w:vAlign w:val="bottom"/>
          </w:tcPr>
          <w:p w:rsidR="00F934C1" w:rsidRPr="00BB4B6E" w:rsidRDefault="00F934C1" w:rsidP="00F934C1">
            <w:pPr>
              <w:rPr>
                <w:color w:val="000000"/>
              </w:rPr>
            </w:pPr>
            <w:r w:rsidRPr="00BB4B6E">
              <w:rPr>
                <w:color w:val="000000"/>
              </w:rPr>
              <w:t>0</w:t>
            </w:r>
          </w:p>
        </w:tc>
        <w:tc>
          <w:tcPr>
            <w:tcW w:w="1048" w:type="dxa"/>
            <w:tcBorders>
              <w:top w:val="nil"/>
              <w:left w:val="single" w:sz="8" w:space="0" w:color="000000"/>
              <w:bottom w:val="nil"/>
              <w:right w:val="nil"/>
            </w:tcBorders>
          </w:tcPr>
          <w:p w:rsidR="00F934C1" w:rsidRPr="00BB4B6E" w:rsidRDefault="00F934C1" w:rsidP="00F934C1">
            <w:pPr>
              <w:rPr>
                <w:color w:val="000000"/>
              </w:rPr>
            </w:pPr>
            <w:r w:rsidRPr="00BB4B6E">
              <w:rPr>
                <w:color w:val="000000"/>
              </w:rPr>
              <w:t>0</w:t>
            </w:r>
          </w:p>
        </w:tc>
        <w:tc>
          <w:tcPr>
            <w:tcW w:w="1069" w:type="dxa"/>
            <w:tcBorders>
              <w:top w:val="nil"/>
              <w:left w:val="nil"/>
              <w:bottom w:val="nil"/>
              <w:right w:val="single" w:sz="4" w:space="0" w:color="auto"/>
            </w:tcBorders>
            <w:shd w:val="clear" w:color="auto" w:fill="auto"/>
            <w:vAlign w:val="bottom"/>
          </w:tcPr>
          <w:p w:rsidR="00F934C1" w:rsidRPr="00BB4B6E" w:rsidRDefault="00F934C1" w:rsidP="00F934C1">
            <w:pPr>
              <w:rPr>
                <w:color w:val="000000"/>
              </w:rPr>
            </w:pPr>
            <w:r w:rsidRPr="00BB4B6E">
              <w:rPr>
                <w:color w:val="000000"/>
              </w:rPr>
              <w:t>0</w:t>
            </w:r>
          </w:p>
        </w:tc>
      </w:tr>
      <w:tr w:rsidR="00F934C1" w:rsidRPr="00BB4B6E" w:rsidTr="00F934C1">
        <w:tblPrEx>
          <w:tblLook w:val="04A0" w:firstRow="1" w:lastRow="0" w:firstColumn="1" w:lastColumn="0" w:noHBand="0" w:noVBand="1"/>
        </w:tblPrEx>
        <w:tc>
          <w:tcPr>
            <w:tcW w:w="1890" w:type="dxa"/>
            <w:tcBorders>
              <w:top w:val="nil"/>
              <w:right w:val="single" w:sz="8" w:space="0" w:color="000000"/>
            </w:tcBorders>
          </w:tcPr>
          <w:p w:rsidR="00F934C1" w:rsidRPr="00BB4B6E" w:rsidRDefault="00F934C1" w:rsidP="00F934C1">
            <w:r w:rsidRPr="00BB4B6E">
              <w:t>P-value</w:t>
            </w:r>
          </w:p>
        </w:tc>
        <w:tc>
          <w:tcPr>
            <w:tcW w:w="998" w:type="dxa"/>
            <w:tcBorders>
              <w:top w:val="nil"/>
              <w:left w:val="single" w:sz="8" w:space="0" w:color="000000"/>
              <w:right w:val="nil"/>
            </w:tcBorders>
          </w:tcPr>
          <w:p w:rsidR="00F934C1" w:rsidRPr="00BB4B6E" w:rsidRDefault="00F934C1" w:rsidP="00F934C1">
            <w:pPr>
              <w:rPr>
                <w:color w:val="000000"/>
              </w:rPr>
            </w:pPr>
            <w:r w:rsidRPr="00BB4B6E">
              <w:rPr>
                <w:color w:val="000000"/>
              </w:rPr>
              <w:t>˂0.01</w:t>
            </w:r>
          </w:p>
        </w:tc>
        <w:tc>
          <w:tcPr>
            <w:tcW w:w="1023" w:type="dxa"/>
            <w:tcBorders>
              <w:top w:val="nil"/>
              <w:left w:val="nil"/>
              <w:right w:val="single" w:sz="8" w:space="0" w:color="000000"/>
            </w:tcBorders>
          </w:tcPr>
          <w:p w:rsidR="00F934C1" w:rsidRPr="00BB4B6E" w:rsidRDefault="00F934C1" w:rsidP="00F934C1">
            <w:pPr>
              <w:rPr>
                <w:color w:val="000000"/>
              </w:rPr>
            </w:pPr>
            <w:r w:rsidRPr="00BB4B6E">
              <w:rPr>
                <w:color w:val="000000"/>
              </w:rPr>
              <w:t>˂0.01</w:t>
            </w:r>
          </w:p>
        </w:tc>
        <w:tc>
          <w:tcPr>
            <w:tcW w:w="1226" w:type="dxa"/>
            <w:tcBorders>
              <w:top w:val="nil"/>
              <w:left w:val="single" w:sz="8" w:space="0" w:color="000000"/>
              <w:right w:val="nil"/>
            </w:tcBorders>
          </w:tcPr>
          <w:p w:rsidR="00F934C1" w:rsidRPr="00BB4B6E" w:rsidRDefault="00F934C1" w:rsidP="00F934C1">
            <w:pPr>
              <w:rPr>
                <w:color w:val="000000"/>
              </w:rPr>
            </w:pPr>
            <w:r w:rsidRPr="00BB4B6E">
              <w:rPr>
                <w:color w:val="000000"/>
              </w:rPr>
              <w:t>˂0.01</w:t>
            </w:r>
          </w:p>
        </w:tc>
        <w:tc>
          <w:tcPr>
            <w:tcW w:w="1016" w:type="dxa"/>
            <w:tcBorders>
              <w:top w:val="nil"/>
              <w:left w:val="nil"/>
              <w:right w:val="single" w:sz="8" w:space="0" w:color="000000"/>
            </w:tcBorders>
          </w:tcPr>
          <w:p w:rsidR="00F934C1" w:rsidRPr="00BB4B6E" w:rsidRDefault="00F934C1" w:rsidP="00F934C1">
            <w:pPr>
              <w:rPr>
                <w:color w:val="000000"/>
              </w:rPr>
            </w:pPr>
            <w:r w:rsidRPr="00BB4B6E">
              <w:rPr>
                <w:color w:val="000000"/>
              </w:rPr>
              <w:t>˂0.01</w:t>
            </w:r>
          </w:p>
        </w:tc>
        <w:tc>
          <w:tcPr>
            <w:tcW w:w="1048" w:type="dxa"/>
            <w:tcBorders>
              <w:top w:val="nil"/>
              <w:left w:val="single" w:sz="8" w:space="0" w:color="000000"/>
              <w:right w:val="nil"/>
            </w:tcBorders>
          </w:tcPr>
          <w:p w:rsidR="00F934C1" w:rsidRPr="00BB4B6E" w:rsidRDefault="00F934C1" w:rsidP="00F934C1">
            <w:pPr>
              <w:rPr>
                <w:color w:val="000000"/>
              </w:rPr>
            </w:pPr>
            <w:r w:rsidRPr="00BB4B6E">
              <w:rPr>
                <w:color w:val="000000"/>
              </w:rPr>
              <w:t>˂0.01</w:t>
            </w:r>
          </w:p>
        </w:tc>
        <w:tc>
          <w:tcPr>
            <w:tcW w:w="1069" w:type="dxa"/>
            <w:tcBorders>
              <w:top w:val="nil"/>
              <w:left w:val="nil"/>
            </w:tcBorders>
          </w:tcPr>
          <w:p w:rsidR="00F934C1" w:rsidRPr="00BB4B6E" w:rsidRDefault="00F934C1" w:rsidP="00F934C1">
            <w:pPr>
              <w:rPr>
                <w:color w:val="000000"/>
              </w:rPr>
            </w:pPr>
            <w:r w:rsidRPr="00BB4B6E">
              <w:rPr>
                <w:color w:val="000000"/>
              </w:rPr>
              <w:t>˂0.01</w:t>
            </w:r>
          </w:p>
        </w:tc>
      </w:tr>
    </w:tbl>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Pr>
        <w:spacing w:line="240" w:lineRule="auto"/>
        <w:rPr>
          <w:color w:val="000000"/>
        </w:rPr>
      </w:pPr>
    </w:p>
    <w:p w:rsidR="00F934C1" w:rsidRPr="00BB4B6E" w:rsidRDefault="00F934C1" w:rsidP="00F934C1">
      <w:pPr>
        <w:spacing w:line="240" w:lineRule="auto"/>
        <w:rPr>
          <w:color w:val="000000"/>
        </w:rPr>
      </w:pPr>
    </w:p>
    <w:p w:rsidR="00F934C1" w:rsidRPr="00BB4B6E" w:rsidRDefault="00F934C1" w:rsidP="00F934C1">
      <w:pPr>
        <w:spacing w:line="240" w:lineRule="auto"/>
        <w:rPr>
          <w:color w:val="000000"/>
        </w:rPr>
      </w:pPr>
    </w:p>
    <w:p w:rsidR="00F934C1" w:rsidRPr="00BB4B6E" w:rsidRDefault="00F934C1" w:rsidP="00F934C1">
      <w:pPr>
        <w:autoSpaceDE/>
        <w:autoSpaceDN/>
        <w:adjustRightInd/>
        <w:spacing w:after="200" w:line="276" w:lineRule="auto"/>
        <w:jc w:val="left"/>
        <w:rPr>
          <w:color w:val="000000" w:themeColor="text1"/>
        </w:rPr>
      </w:pPr>
      <w:r w:rsidRPr="00BB4B6E">
        <w:rPr>
          <w:color w:val="000000" w:themeColor="text1"/>
        </w:rPr>
        <w:br w:type="page"/>
      </w:r>
    </w:p>
    <w:p w:rsidR="00F934C1" w:rsidRPr="00BB4B6E" w:rsidRDefault="00F934C1" w:rsidP="00F934C1">
      <w:pPr>
        <w:pStyle w:val="Heading2"/>
      </w:pPr>
      <w:bookmarkStart w:id="312" w:name="_Toc144820085"/>
      <w:r w:rsidRPr="00BB4B6E">
        <w:lastRenderedPageBreak/>
        <w:t>Appendix III:</w:t>
      </w:r>
      <w:r>
        <w:t xml:space="preserve"> % Phosphate release rate in b</w:t>
      </w:r>
      <w:r w:rsidRPr="00BB4B6E">
        <w:t>one and synthetic nHA nano-fertilizer</w:t>
      </w:r>
      <w:bookmarkEnd w:id="312"/>
    </w:p>
    <w:p w:rsidR="00F934C1" w:rsidRPr="00BB4B6E" w:rsidRDefault="009E3DFE" w:rsidP="00F934C1">
      <w:pPr>
        <w:spacing w:line="240" w:lineRule="auto"/>
        <w:rPr>
          <w:b/>
        </w:rPr>
      </w:pPr>
      <w:r>
        <w:rPr>
          <w:noProof/>
        </w:rPr>
        <mc:AlternateContent>
          <mc:Choice Requires="wps">
            <w:drawing>
              <wp:inline distT="0" distB="0" distL="0" distR="0">
                <wp:extent cx="304800" cy="304800"/>
                <wp:effectExtent l="0" t="0" r="0" b="0"/>
                <wp:docPr id="9" name="AutoShape 1" descr="(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 o:spid="_x0000_s1026" alt="Description: (a)"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" filled="f" stroked="f">
                <o:lock v:ext="edit" aspectratio="t"/>
                <w10:anchorlock/>
              </v:rect>
            </w:pict>
          </mc:Fallback>
        </mc:AlternateContent>
      </w:r>
      <w:bookmarkStart w:id="313" w:name="_Toc104379875"/>
      <w:bookmarkStart w:id="314" w:name="_Toc112877989"/>
      <w:bookmarkStart w:id="315" w:name="_Toc112880622"/>
      <w:r w:rsidR="00F934C1" w:rsidRPr="00BB4B6E">
        <w:rPr>
          <w:b/>
          <w:noProof/>
        </w:rPr>
        <w:drawing>
          <wp:inline distT="0" distB="0" distL="0" distR="0" wp14:anchorId="5E4EF6FF" wp14:editId="16668661">
            <wp:extent cx="4572000" cy="3571875"/>
            <wp:effectExtent l="19050" t="0" r="19050" b="0"/>
            <wp:docPr id="9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F934C1" w:rsidRPr="00BB4B6E" w:rsidRDefault="00F934C1" w:rsidP="00F934C1">
      <w:pPr>
        <w:pStyle w:val="Caption"/>
        <w:rPr>
          <w:b w:val="0"/>
          <w:bCs w:val="0"/>
          <w:color w:val="auto"/>
          <w:sz w:val="24"/>
          <w:szCs w:val="24"/>
        </w:rPr>
      </w:pPr>
      <w:bookmarkStart w:id="316" w:name="_Toc120047567"/>
      <w:r w:rsidRPr="00BB4B6E">
        <w:rPr>
          <w:color w:val="auto"/>
          <w:sz w:val="24"/>
          <w:szCs w:val="24"/>
        </w:rPr>
        <w:t>F</w:t>
      </w:r>
      <w:r>
        <w:rPr>
          <w:color w:val="auto"/>
          <w:sz w:val="24"/>
          <w:szCs w:val="24"/>
        </w:rPr>
        <w:t>igure 4.</w:t>
      </w:r>
      <w:r w:rsidR="00C226E6" w:rsidRPr="00BB4B6E">
        <w:rPr>
          <w:color w:val="auto"/>
          <w:sz w:val="24"/>
          <w:szCs w:val="24"/>
        </w:rPr>
        <w:fldChar w:fldCharType="begin"/>
      </w:r>
      <w:r w:rsidRPr="00BB4B6E">
        <w:rPr>
          <w:color w:val="auto"/>
          <w:sz w:val="24"/>
          <w:szCs w:val="24"/>
        </w:rPr>
        <w:instrText xml:space="preserve"> SEQ Fig._4. \* ARABIC </w:instrText>
      </w:r>
      <w:r w:rsidR="00C226E6" w:rsidRPr="00BB4B6E">
        <w:rPr>
          <w:color w:val="auto"/>
          <w:sz w:val="24"/>
          <w:szCs w:val="24"/>
        </w:rPr>
        <w:fldChar w:fldCharType="separate"/>
      </w:r>
      <w:r w:rsidR="00301A90">
        <w:rPr>
          <w:noProof/>
          <w:color w:val="auto"/>
          <w:sz w:val="24"/>
          <w:szCs w:val="24"/>
        </w:rPr>
        <w:t>14</w:t>
      </w:r>
      <w:r w:rsidR="00C226E6" w:rsidRPr="00BB4B6E">
        <w:rPr>
          <w:color w:val="auto"/>
          <w:sz w:val="24"/>
          <w:szCs w:val="24"/>
        </w:rPr>
        <w:fldChar w:fldCharType="end"/>
      </w:r>
      <w:r w:rsidRPr="00BB4B6E">
        <w:rPr>
          <w:b w:val="0"/>
          <w:color w:val="auto"/>
          <w:sz w:val="24"/>
          <w:szCs w:val="24"/>
        </w:rPr>
        <w:t>: % Nitrate release rate in DAP fertilizer and nano-fertilizers with increase in number of days</w:t>
      </w:r>
      <w:bookmarkEnd w:id="313"/>
      <w:bookmarkEnd w:id="314"/>
      <w:bookmarkEnd w:id="315"/>
      <w:bookmarkEnd w:id="316"/>
    </w:p>
    <w:p w:rsidR="00F934C1" w:rsidRPr="00BB4B6E" w:rsidRDefault="00F934C1" w:rsidP="00F934C1">
      <w:pPr>
        <w:autoSpaceDE/>
        <w:autoSpaceDN/>
        <w:adjustRightInd/>
        <w:spacing w:after="200" w:line="276" w:lineRule="auto"/>
        <w:jc w:val="left"/>
        <w:rPr>
          <w:b/>
          <w:bCs/>
        </w:rPr>
      </w:pPr>
      <w:r w:rsidRPr="00BB4B6E">
        <w:rPr>
          <w:b/>
          <w:bCs/>
        </w:rPr>
        <w:br w:type="page"/>
      </w:r>
    </w:p>
    <w:p w:rsidR="00F934C1" w:rsidRPr="00BB4B6E" w:rsidRDefault="00F934C1" w:rsidP="00F934C1">
      <w:pPr>
        <w:pStyle w:val="Heading2"/>
      </w:pPr>
      <w:bookmarkStart w:id="317" w:name="_Toc144820086"/>
      <w:r w:rsidRPr="00BB4B6E">
        <w:lastRenderedPageBreak/>
        <w:t>Appendix IV:</w:t>
      </w:r>
      <w:r>
        <w:t xml:space="preserve"> % Phosphate release rate in b</w:t>
      </w:r>
      <w:r w:rsidRPr="00BB4B6E">
        <w:t>one and synthetic nHA nano-fertilizer</w:t>
      </w:r>
      <w:bookmarkEnd w:id="317"/>
    </w:p>
    <w:p w:rsidR="00F934C1" w:rsidRPr="00BB4B6E" w:rsidRDefault="00F934C1" w:rsidP="00F934C1">
      <w:r w:rsidRPr="00BB4B6E">
        <w:rPr>
          <w:noProof/>
        </w:rPr>
        <w:drawing>
          <wp:inline distT="0" distB="0" distL="0" distR="0" wp14:anchorId="0CA620C4" wp14:editId="5C43B72C">
            <wp:extent cx="4572000" cy="2743200"/>
            <wp:effectExtent l="19050" t="0" r="19050" b="0"/>
            <wp:docPr id="9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934C1" w:rsidRPr="00BB4B6E" w:rsidRDefault="00F934C1" w:rsidP="00F934C1">
      <w:pPr>
        <w:pStyle w:val="Caption"/>
        <w:rPr>
          <w:b w:val="0"/>
          <w:bCs w:val="0"/>
          <w:color w:val="auto"/>
          <w:sz w:val="24"/>
          <w:szCs w:val="24"/>
        </w:rPr>
      </w:pPr>
      <w:bookmarkStart w:id="318" w:name="_Toc120047568"/>
      <w:r>
        <w:rPr>
          <w:color w:val="auto"/>
          <w:sz w:val="24"/>
          <w:szCs w:val="24"/>
        </w:rPr>
        <w:t>Figure</w:t>
      </w:r>
      <w:r w:rsidR="000B2FDC">
        <w:rPr>
          <w:color w:val="auto"/>
          <w:sz w:val="24"/>
          <w:szCs w:val="24"/>
        </w:rPr>
        <w:t xml:space="preserve"> 4.</w:t>
      </w:r>
      <w:r w:rsidR="00C226E6" w:rsidRPr="00BB4B6E">
        <w:rPr>
          <w:color w:val="auto"/>
          <w:sz w:val="24"/>
          <w:szCs w:val="24"/>
        </w:rPr>
        <w:fldChar w:fldCharType="begin"/>
      </w:r>
      <w:r w:rsidRPr="00BB4B6E">
        <w:rPr>
          <w:color w:val="auto"/>
          <w:sz w:val="24"/>
          <w:szCs w:val="24"/>
        </w:rPr>
        <w:instrText xml:space="preserve"> SEQ Fig._4. \* ARABIC </w:instrText>
      </w:r>
      <w:r w:rsidR="00C226E6" w:rsidRPr="00BB4B6E">
        <w:rPr>
          <w:color w:val="auto"/>
          <w:sz w:val="24"/>
          <w:szCs w:val="24"/>
        </w:rPr>
        <w:fldChar w:fldCharType="separate"/>
      </w:r>
      <w:r w:rsidR="00301A90">
        <w:rPr>
          <w:noProof/>
          <w:color w:val="auto"/>
          <w:sz w:val="24"/>
          <w:szCs w:val="24"/>
        </w:rPr>
        <w:t>15</w:t>
      </w:r>
      <w:r w:rsidR="00C226E6" w:rsidRPr="00BB4B6E">
        <w:rPr>
          <w:color w:val="auto"/>
          <w:sz w:val="24"/>
          <w:szCs w:val="24"/>
        </w:rPr>
        <w:fldChar w:fldCharType="end"/>
      </w:r>
      <w:r w:rsidRPr="00BB4B6E">
        <w:rPr>
          <w:b w:val="0"/>
          <w:color w:val="auto"/>
          <w:sz w:val="24"/>
          <w:szCs w:val="24"/>
        </w:rPr>
        <w:t>: % Phosphate release rate in DAP fertilizer and nano-fertilizers with increase in number of days</w:t>
      </w:r>
      <w:bookmarkEnd w:id="318"/>
    </w:p>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 w:rsidR="00F934C1" w:rsidRPr="00BB4B6E" w:rsidRDefault="00F934C1" w:rsidP="00F934C1">
      <w:pPr>
        <w:pStyle w:val="Heading2"/>
        <w:spacing w:line="360" w:lineRule="auto"/>
      </w:pPr>
      <w:r w:rsidRPr="00BB4B6E">
        <w:br w:type="page"/>
      </w:r>
      <w:bookmarkStart w:id="319" w:name="_Toc144820087"/>
      <w:r w:rsidRPr="00BB4B6E">
        <w:lastRenderedPageBreak/>
        <w:t>Appendix V: Published paper With IOSR-JAC.</w:t>
      </w:r>
      <w:bookmarkEnd w:id="319"/>
    </w:p>
    <w:p w:rsidR="00F934C1" w:rsidRPr="00BB4B6E" w:rsidRDefault="00F934C1" w:rsidP="00F934C1">
      <w:pPr>
        <w:spacing w:line="240" w:lineRule="auto"/>
        <w:rPr>
          <w:i/>
          <w:iCs/>
        </w:rPr>
      </w:pPr>
      <w:r w:rsidRPr="00BB4B6E">
        <w:rPr>
          <w:bCs/>
        </w:rPr>
        <w:t xml:space="preserve">Effects On Nanofertilizers On Cd and Pb Uptake In Kales Grown In Medially Polluted Experimental Soil. </w:t>
      </w:r>
      <w:r w:rsidRPr="00BB4B6E">
        <w:t xml:space="preserve">Ngorwe .E.N., Nawiri M., Murungi J., Nyambaka H. and Ongera T. </w:t>
      </w:r>
      <w:r w:rsidRPr="00BB4B6E">
        <w:rPr>
          <w:i/>
          <w:iCs/>
        </w:rPr>
        <w:t xml:space="preserve">1,2,3,4,5(Chemistry Department, Kenyatta University, Kenya) </w:t>
      </w:r>
    </w:p>
    <w:p w:rsidR="00F934C1" w:rsidRPr="00BB4B6E" w:rsidRDefault="00F934C1" w:rsidP="00F934C1">
      <w:pPr>
        <w:spacing w:line="240" w:lineRule="auto"/>
        <w:jc w:val="center"/>
        <w:rPr>
          <w:b/>
          <w:bCs/>
          <w:iCs/>
          <w:u w:val="single"/>
        </w:rPr>
      </w:pPr>
      <w:r w:rsidRPr="00BB4B6E">
        <w:rPr>
          <w:b/>
          <w:bCs/>
          <w:iCs/>
          <w:u w:val="single"/>
        </w:rPr>
        <w:t>Abstract</w:t>
      </w:r>
    </w:p>
    <w:p w:rsidR="00F934C1" w:rsidRPr="00BB4B6E" w:rsidRDefault="00F934C1" w:rsidP="00F934C1">
      <w:pPr>
        <w:spacing w:line="240" w:lineRule="auto"/>
        <w:rPr>
          <w:iCs/>
        </w:rPr>
      </w:pPr>
      <w:r w:rsidRPr="00BB4B6E">
        <w:rPr>
          <w:b/>
          <w:bCs/>
          <w:iCs/>
        </w:rPr>
        <w:t>Background</w:t>
      </w:r>
      <w:r w:rsidRPr="00BB4B6E">
        <w:rPr>
          <w:iCs/>
        </w:rPr>
        <w:t xml:space="preserve">: Most agriculturalists use excess commercial fertilizers with the notion that some will be eroded and leached eventually causing eutrophication and alters soil pH that increases Cd and Pb uptake in crops .Nanoparticles have numerous adsorption sites that reduce Cd and Pb uptake in crops and it has controlled release of nutrients guaranteeing longer interaction with the crops to ensure safer and higher crop yields to feed sporadic growing population. </w:t>
      </w:r>
    </w:p>
    <w:p w:rsidR="00F934C1" w:rsidRPr="00BB4B6E" w:rsidRDefault="00F934C1" w:rsidP="00F934C1">
      <w:pPr>
        <w:spacing w:line="240" w:lineRule="auto"/>
        <w:rPr>
          <w:iCs/>
        </w:rPr>
      </w:pPr>
      <w:r w:rsidRPr="00BB4B6E">
        <w:rPr>
          <w:b/>
          <w:bCs/>
          <w:iCs/>
        </w:rPr>
        <w:t>Materials and Methods</w:t>
      </w:r>
      <w:r w:rsidRPr="00BB4B6E">
        <w:rPr>
          <w:iCs/>
        </w:rPr>
        <w:t xml:space="preserve">: This study uses nanohydroxyapatite adsorbents from waste bones to synthesis nanofertilizers by encapsulating with DAP and NPK commercial fertilizers. Pots study in green house for contaminated soils were conducted with eight treatments in triplicate; DAP added, NPK added, NPK-DAP added, DAP nanofertilizer, NPK nanofertilizer, NPK-DAP nanofertilizer and non-treated control (ck) treatments, for sukuma wiki (kales) in Kitutu Chache south sub-county, Kisii County, Kenya. Nine pots were set for each treatment with one seedling each planted per pot. Nanofertilizers were applied at normal application rates during planting. Crops were left grown for 30 days to 90 days until they matured and harvested three times on a monthly basis. Harvested leaves were washed with distilled deionized water, oven dried and then acid digested and then analyzed by AAS for Cd and Pb. Data obtained was analyzed by ANOVA and t-test to compare means of various treatment, Cd and Pb in contaminated soils. </w:t>
      </w:r>
    </w:p>
    <w:p w:rsidR="00F934C1" w:rsidRPr="00BB4B6E" w:rsidRDefault="00F934C1" w:rsidP="00F934C1">
      <w:pPr>
        <w:spacing w:line="240" w:lineRule="auto"/>
        <w:rPr>
          <w:iCs/>
        </w:rPr>
      </w:pPr>
      <w:r w:rsidRPr="00BB4B6E">
        <w:rPr>
          <w:b/>
          <w:bCs/>
          <w:iCs/>
        </w:rPr>
        <w:t>Results</w:t>
      </w:r>
      <w:r w:rsidRPr="00BB4B6E">
        <w:rPr>
          <w:iCs/>
        </w:rPr>
        <w:t xml:space="preserve">: The nanofertilizers treatment recorded lowest levels of Cd and Pb in sukuma wiki harvested leaves. The bone ash (nHA added) had the lowest concentration levels of Cd (18.14±0.29) and Pb (15.91±0.57) with NPK nanofertilizers also recording lower concentration levels of Cd (27.29±0.50) and Pb (21.59±0.74). The DAP added fertilizers recorded highest concentration levels of Pb (56.74±5.75) while NPK added fertilizers recorded highest concentration levels of Cd (53.46±2.55). The bone nanofertilizer grown sukuma wiki had higher growth performance and lower levels of Cd and Pb to the permissible levels allowed by WHO/FAO in Kenyan vegetables. The bone ash nano treatment posted the lower heavy metals concentration levels of Cd (18.14±0.29) and Pb (15.91±0.57) while in synthetic experiments leaves harvested from synthetic ash nanofertilizer treated pots had Cd (23.71±1.92) and Pb (14.60±0.30). Cadmium concentration levels in kales harvested from bone ash recorded the highest reduction of 60.69% as compared with the non-treated control followed by bone NPK nanofertilizer with 30.70% cadmium uptake reduction. Lead uptake in bone set-up was most efficiently reduced by bone ash (nHA) by 59.25% while reduction by same treatment in synthetic experiment was 58.71%. The bone NPK nanofertilizer had 44.70% lead uptake reduction. However fertilizer amendment increased lead uptake with DAP added treatment hiking lead uptake in kales by 14.04%. </w:t>
      </w:r>
    </w:p>
    <w:p w:rsidR="00F934C1" w:rsidRPr="00BB4B6E" w:rsidRDefault="00F934C1" w:rsidP="00F934C1">
      <w:pPr>
        <w:spacing w:line="240" w:lineRule="auto"/>
        <w:rPr>
          <w:iCs/>
        </w:rPr>
      </w:pPr>
      <w:r w:rsidRPr="00BB4B6E">
        <w:rPr>
          <w:b/>
          <w:bCs/>
          <w:iCs/>
        </w:rPr>
        <w:t xml:space="preserve">Conclusion: </w:t>
      </w:r>
      <w:r w:rsidRPr="00BB4B6E">
        <w:rPr>
          <w:iCs/>
        </w:rPr>
        <w:t>The result is recommended for nanofertilizers to be used in growing other crops such as maize, beans, spinach potatoes, wheat, rice and other vegetative crops in medially polluted soils, especially in peri-urban farming to boost food productivity to feed ever growing population.</w:t>
      </w:r>
    </w:p>
    <w:p w:rsidR="00F934C1" w:rsidRPr="00BB4B6E" w:rsidRDefault="00F934C1" w:rsidP="00F934C1">
      <w:pPr>
        <w:spacing w:line="240" w:lineRule="auto"/>
        <w:rPr>
          <w:iCs/>
        </w:rPr>
      </w:pPr>
      <w:r w:rsidRPr="00BB4B6E">
        <w:rPr>
          <w:b/>
          <w:bCs/>
          <w:iCs/>
        </w:rPr>
        <w:t>Key Word</w:t>
      </w:r>
      <w:r w:rsidRPr="00BB4B6E">
        <w:rPr>
          <w:iCs/>
        </w:rPr>
        <w:t xml:space="preserve">: </w:t>
      </w:r>
      <w:r w:rsidRPr="00BB4B6E">
        <w:rPr>
          <w:i/>
          <w:iCs/>
        </w:rPr>
        <w:t>Nanofertilizer; Amendment; Uptake; Nanohydroxyapatite; Bone Ash.</w:t>
      </w:r>
      <w:r w:rsidRPr="00BB4B6E">
        <w:rPr>
          <w:iCs/>
        </w:rPr>
        <w:br w:type="page"/>
      </w:r>
    </w:p>
    <w:p w:rsidR="00F934C1" w:rsidRPr="00BB4B6E" w:rsidRDefault="00F934C1" w:rsidP="00F934C1">
      <w:pPr>
        <w:pStyle w:val="Heading2"/>
        <w:rPr>
          <w:rFonts w:eastAsiaTheme="minorHAnsi"/>
        </w:rPr>
      </w:pPr>
      <w:bookmarkStart w:id="320" w:name="_Toc144820088"/>
      <w:r w:rsidRPr="00BB4B6E">
        <w:lastRenderedPageBreak/>
        <w:t>Appendix VI: Published paper With IJSR</w:t>
      </w:r>
      <w:bookmarkEnd w:id="320"/>
    </w:p>
    <w:p w:rsidR="00F934C1" w:rsidRPr="00BB4B6E" w:rsidRDefault="00F934C1" w:rsidP="00F934C1">
      <w:pPr>
        <w:spacing w:line="240" w:lineRule="auto"/>
        <w:jc w:val="left"/>
        <w:rPr>
          <w:rFonts w:eastAsiaTheme="minorHAnsi"/>
          <w:bCs/>
        </w:rPr>
      </w:pPr>
      <w:r w:rsidRPr="00BB4B6E">
        <w:rPr>
          <w:rFonts w:eastAsiaTheme="minorHAnsi"/>
          <w:bCs/>
        </w:rPr>
        <w:t>Efficacy of Nanofertilizers on Spinach Growth Performance in Medially Polluted Soils</w:t>
      </w:r>
    </w:p>
    <w:p w:rsidR="00F934C1" w:rsidRPr="00BB4B6E" w:rsidRDefault="00F934C1" w:rsidP="00F934C1">
      <w:pPr>
        <w:spacing w:line="240" w:lineRule="auto"/>
        <w:jc w:val="left"/>
        <w:rPr>
          <w:rFonts w:eastAsiaTheme="minorHAnsi"/>
          <w:bCs/>
        </w:rPr>
      </w:pPr>
      <w:r w:rsidRPr="00BB4B6E">
        <w:t xml:space="preserve">Ngorwe .E.N., Nyambaka H., Murungi J., Nawiri M., and Ongera T. </w:t>
      </w:r>
      <w:r w:rsidRPr="00BB4B6E">
        <w:rPr>
          <w:i/>
          <w:iCs/>
        </w:rPr>
        <w:t xml:space="preserve">1,2,3,4,5(Chemistry Department, Kenyatta University, Kenya) </w:t>
      </w:r>
    </w:p>
    <w:p w:rsidR="00F934C1" w:rsidRPr="00BB4B6E" w:rsidRDefault="00F934C1" w:rsidP="00F934C1">
      <w:pPr>
        <w:spacing w:line="240" w:lineRule="auto"/>
        <w:jc w:val="left"/>
        <w:rPr>
          <w:rFonts w:eastAsiaTheme="minorHAnsi"/>
        </w:rPr>
      </w:pPr>
    </w:p>
    <w:p w:rsidR="00F934C1" w:rsidRPr="00BB4B6E" w:rsidRDefault="00F934C1" w:rsidP="00F934C1">
      <w:pPr>
        <w:spacing w:line="240" w:lineRule="auto"/>
        <w:jc w:val="center"/>
        <w:rPr>
          <w:rFonts w:eastAsiaTheme="minorHAnsi"/>
          <w:b/>
          <w:bCs/>
          <w:iCs/>
          <w:u w:val="single"/>
        </w:rPr>
      </w:pPr>
      <w:r w:rsidRPr="00BB4B6E">
        <w:rPr>
          <w:rFonts w:eastAsiaTheme="minorHAnsi"/>
          <w:b/>
          <w:bCs/>
          <w:iCs/>
          <w:u w:val="single"/>
        </w:rPr>
        <w:t>Abstract</w:t>
      </w:r>
    </w:p>
    <w:p w:rsidR="00F934C1" w:rsidRPr="00BB4B6E" w:rsidRDefault="00F934C1" w:rsidP="00F934C1">
      <w:pPr>
        <w:spacing w:line="240" w:lineRule="auto"/>
        <w:jc w:val="left"/>
        <w:rPr>
          <w:rFonts w:eastAsiaTheme="minorHAnsi"/>
          <w:b/>
          <w:iCs/>
        </w:rPr>
      </w:pPr>
      <w:r w:rsidRPr="00BB4B6E">
        <w:rPr>
          <w:rFonts w:eastAsiaTheme="minorHAnsi"/>
          <w:b/>
          <w:iCs/>
        </w:rPr>
        <w:t>Purpose</w:t>
      </w:r>
    </w:p>
    <w:p w:rsidR="00F934C1" w:rsidRPr="00BB4B6E" w:rsidRDefault="00F934C1" w:rsidP="00F934C1">
      <w:pPr>
        <w:spacing w:line="240" w:lineRule="auto"/>
        <w:rPr>
          <w:rFonts w:eastAsiaTheme="minorHAnsi"/>
          <w:iCs/>
        </w:rPr>
      </w:pPr>
      <w:r w:rsidRPr="00BB4B6E">
        <w:rPr>
          <w:rFonts w:eastAsiaTheme="minorHAnsi"/>
          <w:iCs/>
        </w:rPr>
        <w:t>Food security has been a global problem with the sporadic growing population especially in the developing world, Kenya included. Many crop growth enhancers have been used such as conventional fertilizers, bio-fertilizers to boost food productivity. However, use excessive commercial fertilizer with the notion that some will be eroded and leached eventually causes eutrophication and alters soil pH that increases heavy metal uptake in crops threatening food safety and it has also minimal plant nutrient utilization. Nanoparticles have been used to give slower and timely release of nutrients to plants due to their versatile desirable characteristics.</w:t>
      </w:r>
    </w:p>
    <w:p w:rsidR="00F934C1" w:rsidRPr="00BB4B6E" w:rsidRDefault="00F934C1" w:rsidP="00F934C1">
      <w:pPr>
        <w:spacing w:line="240" w:lineRule="auto"/>
        <w:jc w:val="left"/>
        <w:rPr>
          <w:rFonts w:eastAsiaTheme="minorHAnsi"/>
          <w:b/>
          <w:iCs/>
        </w:rPr>
      </w:pPr>
      <w:r w:rsidRPr="00BB4B6E">
        <w:rPr>
          <w:rFonts w:eastAsiaTheme="minorHAnsi"/>
          <w:b/>
          <w:iCs/>
        </w:rPr>
        <w:t>Methods</w:t>
      </w:r>
    </w:p>
    <w:p w:rsidR="00F934C1" w:rsidRPr="00BB4B6E" w:rsidRDefault="00F934C1" w:rsidP="00F934C1">
      <w:pPr>
        <w:spacing w:line="240" w:lineRule="auto"/>
        <w:rPr>
          <w:rFonts w:eastAsiaTheme="minorHAnsi"/>
          <w:iCs/>
        </w:rPr>
      </w:pPr>
      <w:r w:rsidRPr="00BB4B6E">
        <w:rPr>
          <w:rFonts w:eastAsiaTheme="minorHAnsi"/>
          <w:iCs/>
        </w:rPr>
        <w:t>Pot study in green house for contaminated soils were conducted with eight treatments in triplicate; DAP added, NPK added, NPK-DAP added, DAP nanofertilizer, NPK nanofertilizer, NPK-DAP nanofertilizer and non-treated control (ck) treatments, for spinach in the greenhouse study done in Nyakoe, Kisii county. Nine pots were set for each treatment with one seedling each. Nanofertilizers were applied at normal application rates during planting. Spinach plants were left grown for 30 days to 90 days until they matured as the growth performance parameters were being recorded.</w:t>
      </w:r>
    </w:p>
    <w:p w:rsidR="00F934C1" w:rsidRPr="00BB4B6E" w:rsidRDefault="00F934C1" w:rsidP="00F934C1">
      <w:pPr>
        <w:spacing w:line="240" w:lineRule="auto"/>
        <w:jc w:val="left"/>
        <w:rPr>
          <w:rFonts w:eastAsiaTheme="minorHAnsi"/>
          <w:b/>
          <w:iCs/>
        </w:rPr>
      </w:pPr>
      <w:r w:rsidRPr="00BB4B6E">
        <w:rPr>
          <w:rFonts w:eastAsiaTheme="minorHAnsi"/>
          <w:b/>
          <w:iCs/>
        </w:rPr>
        <w:t>Results</w:t>
      </w:r>
    </w:p>
    <w:p w:rsidR="00F934C1" w:rsidRPr="00BB4B6E" w:rsidRDefault="00F934C1" w:rsidP="00F934C1">
      <w:pPr>
        <w:spacing w:line="240" w:lineRule="auto"/>
        <w:rPr>
          <w:rFonts w:eastAsiaTheme="minorHAnsi"/>
          <w:iCs/>
        </w:rPr>
      </w:pPr>
      <w:r w:rsidRPr="00BB4B6E">
        <w:rPr>
          <w:rFonts w:eastAsiaTheme="minorHAnsi"/>
          <w:iCs/>
        </w:rPr>
        <w:t>The results shows that there was a significant difference in plant growth performance in pots where nanofertilizers were used, with spinach amended with synthetic ash (nHA) increasing the growth parameters as follows; height (64.29%), dry matter weight (17.55%), leaf diameter (34.54%) and number of leaves (32.39%) while bone ash treatment increased height by (65.34%), dry matter weight (17.52%), leaf diameter (44.34%) and number of leaves (37.24%) when compared to NPK-DAP fertilizer added control.</w:t>
      </w:r>
    </w:p>
    <w:p w:rsidR="00F934C1" w:rsidRPr="00BB4B6E" w:rsidRDefault="00F934C1" w:rsidP="00F934C1">
      <w:pPr>
        <w:spacing w:line="240" w:lineRule="auto"/>
        <w:jc w:val="left"/>
        <w:rPr>
          <w:rFonts w:eastAsiaTheme="minorHAnsi"/>
          <w:b/>
          <w:iCs/>
        </w:rPr>
      </w:pPr>
      <w:r w:rsidRPr="00BB4B6E">
        <w:rPr>
          <w:rFonts w:eastAsiaTheme="minorHAnsi"/>
          <w:b/>
          <w:iCs/>
        </w:rPr>
        <w:t>Conclusion</w:t>
      </w:r>
    </w:p>
    <w:p w:rsidR="00F934C1" w:rsidRPr="00BB4B6E" w:rsidRDefault="00F934C1" w:rsidP="00F934C1">
      <w:pPr>
        <w:spacing w:line="240" w:lineRule="auto"/>
        <w:rPr>
          <w:rFonts w:eastAsiaTheme="minorHAnsi"/>
          <w:iCs/>
        </w:rPr>
      </w:pPr>
      <w:r w:rsidRPr="00BB4B6E">
        <w:rPr>
          <w:rFonts w:eastAsiaTheme="minorHAnsi"/>
          <w:iCs/>
        </w:rPr>
        <w:t>Nanofertilizers enhances the growth performance of crops even when grown in medially polluted sandy loamy soils of lower fertility, especially in peri-urban farming to boost food productivity to feed ever growing population.</w:t>
      </w:r>
    </w:p>
    <w:p w:rsidR="00F934C1" w:rsidRPr="00B015D5" w:rsidRDefault="00F934C1" w:rsidP="00F934C1">
      <w:pPr>
        <w:spacing w:line="240" w:lineRule="auto"/>
        <w:rPr>
          <w:rFonts w:eastAsiaTheme="minorHAnsi"/>
          <w:i/>
          <w:iCs/>
        </w:rPr>
      </w:pPr>
      <w:r w:rsidRPr="00BB4B6E">
        <w:rPr>
          <w:rFonts w:eastAsiaTheme="minorHAnsi"/>
          <w:b/>
          <w:bCs/>
          <w:iCs/>
        </w:rPr>
        <w:t xml:space="preserve">Keywords: </w:t>
      </w:r>
      <w:r w:rsidRPr="00BB4B6E">
        <w:rPr>
          <w:rFonts w:eastAsiaTheme="minorHAnsi"/>
          <w:i/>
          <w:iCs/>
        </w:rPr>
        <w:t>Nanohydroxyapatite, nanofertilizer, synthetic ash, bone ash, Nanoparticles, growth performance</w:t>
      </w:r>
    </w:p>
    <w:p w:rsidR="00EE4979" w:rsidRDefault="00EE4979">
      <w:pPr>
        <w:autoSpaceDE/>
        <w:autoSpaceDN/>
        <w:adjustRightInd/>
        <w:spacing w:after="200" w:line="276" w:lineRule="auto"/>
        <w:jc w:val="left"/>
      </w:pPr>
      <w:r>
        <w:br w:type="page"/>
      </w:r>
    </w:p>
    <w:p w:rsidR="00EE4979" w:rsidRDefault="00EE4979" w:rsidP="00EE4979">
      <w:pPr>
        <w:pStyle w:val="Heading2"/>
      </w:pPr>
      <w:bookmarkStart w:id="321" w:name="_Toc144820089"/>
      <w:r>
        <w:lastRenderedPageBreak/>
        <w:t>Appendix VII: Approval of Research Proposal</w:t>
      </w:r>
      <w:bookmarkEnd w:id="321"/>
    </w:p>
    <w:p w:rsidR="00EE4979" w:rsidRPr="00EE4979" w:rsidRDefault="00EE4979" w:rsidP="00EE4979">
      <w:r>
        <w:rPr>
          <w:noProof/>
        </w:rPr>
        <w:drawing>
          <wp:inline distT="0" distB="0" distL="0" distR="0" wp14:anchorId="04B4F79B" wp14:editId="2D8BA531">
            <wp:extent cx="5194937" cy="74199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201590" cy="7429478"/>
                    </a:xfrm>
                    <a:prstGeom prst="rect">
                      <a:avLst/>
                    </a:prstGeom>
                  </pic:spPr>
                </pic:pic>
              </a:graphicData>
            </a:graphic>
          </wp:inline>
        </w:drawing>
      </w:r>
    </w:p>
    <w:p w:rsidR="00EE4979" w:rsidRDefault="00EE4979">
      <w:pPr>
        <w:autoSpaceDE/>
        <w:autoSpaceDN/>
        <w:adjustRightInd/>
        <w:spacing w:after="200" w:line="276" w:lineRule="auto"/>
        <w:jc w:val="left"/>
      </w:pPr>
      <w:r>
        <w:br w:type="page"/>
      </w:r>
    </w:p>
    <w:p w:rsidR="00EE4979" w:rsidRDefault="00EE4979" w:rsidP="00EE4979">
      <w:pPr>
        <w:pStyle w:val="Heading2"/>
      </w:pPr>
      <w:bookmarkStart w:id="322" w:name="_Toc144820090"/>
      <w:r>
        <w:lastRenderedPageBreak/>
        <w:t>Appendix VIII: Research Authorization</w:t>
      </w:r>
      <w:bookmarkEnd w:id="322"/>
    </w:p>
    <w:p w:rsidR="00EE4979" w:rsidRPr="00EE4979" w:rsidRDefault="00EE4979" w:rsidP="00EE4979">
      <w:r>
        <w:rPr>
          <w:noProof/>
        </w:rPr>
        <w:drawing>
          <wp:inline distT="0" distB="0" distL="0" distR="0" wp14:anchorId="47BD0022" wp14:editId="55E63BF4">
            <wp:extent cx="5172075" cy="71532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172075" cy="7153275"/>
                    </a:xfrm>
                    <a:prstGeom prst="rect">
                      <a:avLst/>
                    </a:prstGeom>
                  </pic:spPr>
                </pic:pic>
              </a:graphicData>
            </a:graphic>
          </wp:inline>
        </w:drawing>
      </w:r>
    </w:p>
    <w:p w:rsidR="00F934C1" w:rsidRDefault="00F934C1" w:rsidP="00F934C1">
      <w:pPr>
        <w:spacing w:line="240" w:lineRule="auto"/>
      </w:pPr>
    </w:p>
    <w:p w:rsidR="00F934C1" w:rsidRDefault="00F934C1" w:rsidP="00F934C1"/>
    <w:p w:rsidR="00823B51" w:rsidRDefault="00823B51"/>
    <w:sectPr w:rsidR="00823B51" w:rsidSect="00644636">
      <w:pgSz w:w="11906" w:h="16838" w:code="9"/>
      <w:pgMar w:top="1728" w:right="1440" w:bottom="1440" w:left="230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558A" w:rsidRDefault="0036558A" w:rsidP="000418AB">
      <w:pPr>
        <w:spacing w:line="240" w:lineRule="auto"/>
      </w:pPr>
      <w:r>
        <w:separator/>
      </w:r>
    </w:p>
  </w:endnote>
  <w:endnote w:type="continuationSeparator" w:id="0">
    <w:p w:rsidR="0036558A" w:rsidRDefault="0036558A" w:rsidP="000418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nion-Black">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inionMath-Capt">
    <w:altName w:val="Arial Unicode MS"/>
    <w:panose1 w:val="00000000000000000000"/>
    <w:charset w:val="86"/>
    <w:family w:val="auto"/>
    <w:notTrueType/>
    <w:pitch w:val="default"/>
    <w:sig w:usb0="00000001" w:usb1="080E0000" w:usb2="00000010" w:usb3="00000000" w:csb0="00040000" w:csb1="00000000"/>
  </w:font>
  <w:font w:name="TimesNewRomanPSMT">
    <w:altName w:val="Times New Roman"/>
    <w:charset w:val="00"/>
    <w:family w:val="roman"/>
    <w:pitch w:val="default"/>
  </w:font>
  <w:font w:name="Niagara Solid">
    <w:panose1 w:val="04020502070702020202"/>
    <w:charset w:val="00"/>
    <w:family w:val="decorativ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558A" w:rsidRDefault="0036558A" w:rsidP="000418AB">
      <w:pPr>
        <w:spacing w:line="240" w:lineRule="auto"/>
      </w:pPr>
      <w:r>
        <w:separator/>
      </w:r>
    </w:p>
  </w:footnote>
  <w:footnote w:type="continuationSeparator" w:id="0">
    <w:p w:rsidR="0036558A" w:rsidRDefault="0036558A" w:rsidP="000418A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1995649"/>
      <w:docPartObj>
        <w:docPartGallery w:val="Page Numbers (Top of Page)"/>
        <w:docPartUnique/>
      </w:docPartObj>
    </w:sdtPr>
    <w:sdtEndPr/>
    <w:sdtContent>
      <w:p w:rsidR="00EE4979" w:rsidRDefault="00EE4979">
        <w:pPr>
          <w:pStyle w:val="Header"/>
          <w:jc w:val="center"/>
        </w:pPr>
      </w:p>
      <w:p w:rsidR="00EE4979" w:rsidRDefault="00EE4979">
        <w:pPr>
          <w:pStyle w:val="Header"/>
          <w:jc w:val="center"/>
        </w:pPr>
        <w:r>
          <w:fldChar w:fldCharType="begin"/>
        </w:r>
        <w:r>
          <w:instrText xml:space="preserve"> PAGE   \* MERGEFORMAT </w:instrText>
        </w:r>
        <w:r>
          <w:fldChar w:fldCharType="separate"/>
        </w:r>
        <w:r w:rsidR="009E3DFE">
          <w:rPr>
            <w:noProof/>
          </w:rPr>
          <w:t>ii</w:t>
        </w:r>
        <w:r>
          <w:rPr>
            <w:noProof/>
          </w:rPr>
          <w:fldChar w:fldCharType="end"/>
        </w:r>
      </w:p>
    </w:sdtContent>
  </w:sdt>
  <w:p w:rsidR="00EE4979" w:rsidRDefault="00EE497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1995650"/>
      <w:docPartObj>
        <w:docPartGallery w:val="Page Numbers (Top of Page)"/>
        <w:docPartUnique/>
      </w:docPartObj>
    </w:sdtPr>
    <w:sdtEndPr>
      <w:rPr>
        <w:noProof/>
      </w:rPr>
    </w:sdtEndPr>
    <w:sdtContent>
      <w:p w:rsidR="00EE4979" w:rsidRDefault="00EE4979">
        <w:pPr>
          <w:pStyle w:val="Header"/>
          <w:jc w:val="center"/>
        </w:pPr>
      </w:p>
      <w:p w:rsidR="00EE4979" w:rsidRDefault="00EE4979">
        <w:pPr>
          <w:pStyle w:val="Header"/>
          <w:jc w:val="center"/>
        </w:pPr>
      </w:p>
      <w:p w:rsidR="00EE4979" w:rsidRDefault="00EE4979">
        <w:pPr>
          <w:pStyle w:val="Header"/>
          <w:jc w:val="center"/>
        </w:pPr>
        <w:r>
          <w:fldChar w:fldCharType="begin"/>
        </w:r>
        <w:r>
          <w:instrText xml:space="preserve"> PAGE   \* MERGEFORMAT </w:instrText>
        </w:r>
        <w:r>
          <w:fldChar w:fldCharType="separate"/>
        </w:r>
        <w:r w:rsidR="009E3DFE">
          <w:rPr>
            <w:noProof/>
          </w:rPr>
          <w:t>i</w:t>
        </w:r>
        <w:r>
          <w:rPr>
            <w:noProof/>
          </w:rPr>
          <w:fldChar w:fldCharType="end"/>
        </w:r>
      </w:p>
    </w:sdtContent>
  </w:sdt>
  <w:p w:rsidR="00EE4979" w:rsidRDefault="00EE497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1995651"/>
      <w:docPartObj>
        <w:docPartGallery w:val="Page Numbers (Top of Page)"/>
        <w:docPartUnique/>
      </w:docPartObj>
    </w:sdtPr>
    <w:sdtEndPr/>
    <w:sdtContent>
      <w:p w:rsidR="00EE4979" w:rsidRDefault="00EE4979">
        <w:pPr>
          <w:pStyle w:val="Header"/>
          <w:jc w:val="center"/>
        </w:pPr>
      </w:p>
      <w:p w:rsidR="00EE4979" w:rsidRDefault="00EE4979">
        <w:pPr>
          <w:pStyle w:val="Header"/>
          <w:jc w:val="center"/>
        </w:pPr>
        <w:r>
          <w:fldChar w:fldCharType="begin"/>
        </w:r>
        <w:r>
          <w:instrText xml:space="preserve"> PAGE   \* MERGEFORMAT </w:instrText>
        </w:r>
        <w:r>
          <w:fldChar w:fldCharType="separate"/>
        </w:r>
        <w:r w:rsidR="009E3DFE">
          <w:rPr>
            <w:noProof/>
          </w:rPr>
          <w:t>110</w:t>
        </w:r>
        <w:r>
          <w:rPr>
            <w:noProof/>
          </w:rPr>
          <w:fldChar w:fldCharType="end"/>
        </w:r>
      </w:p>
    </w:sdtContent>
  </w:sdt>
  <w:p w:rsidR="00EE4979" w:rsidRDefault="00EE497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1995652"/>
      <w:docPartObj>
        <w:docPartGallery w:val="Page Numbers (Top of Page)"/>
        <w:docPartUnique/>
      </w:docPartObj>
    </w:sdtPr>
    <w:sdtEndPr/>
    <w:sdtContent>
      <w:p w:rsidR="00EE4979" w:rsidRDefault="00EE4979">
        <w:pPr>
          <w:pStyle w:val="Header"/>
          <w:jc w:val="center"/>
        </w:pPr>
        <w:r>
          <w:fldChar w:fldCharType="begin"/>
        </w:r>
        <w:r>
          <w:instrText xml:space="preserve"> PAGE   \* MERGEFORMAT </w:instrText>
        </w:r>
        <w:r>
          <w:fldChar w:fldCharType="separate"/>
        </w:r>
        <w:r>
          <w:rPr>
            <w:noProof/>
          </w:rPr>
          <w:t>50</w:t>
        </w:r>
        <w:r>
          <w:rPr>
            <w:noProof/>
          </w:rPr>
          <w:fldChar w:fldCharType="end"/>
        </w:r>
      </w:p>
    </w:sdtContent>
  </w:sdt>
  <w:p w:rsidR="00EE4979" w:rsidRDefault="00EE4979">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1995653"/>
      <w:docPartObj>
        <w:docPartGallery w:val="Page Numbers (Top of Page)"/>
        <w:docPartUnique/>
      </w:docPartObj>
    </w:sdtPr>
    <w:sdtEndPr/>
    <w:sdtContent>
      <w:p w:rsidR="00EE4979" w:rsidRDefault="00EE4979">
        <w:pPr>
          <w:pStyle w:val="Header"/>
          <w:jc w:val="center"/>
        </w:pPr>
        <w:r>
          <w:fldChar w:fldCharType="begin"/>
        </w:r>
        <w:r>
          <w:instrText xml:space="preserve"> PAGE   \* MERGEFORMAT </w:instrText>
        </w:r>
        <w:r>
          <w:fldChar w:fldCharType="separate"/>
        </w:r>
        <w:r>
          <w:rPr>
            <w:noProof/>
          </w:rPr>
          <w:t>86</w:t>
        </w:r>
        <w:r>
          <w:rPr>
            <w:noProof/>
          </w:rPr>
          <w:fldChar w:fldCharType="end"/>
        </w:r>
      </w:p>
    </w:sdtContent>
  </w:sdt>
  <w:p w:rsidR="00EE4979" w:rsidRDefault="00EE497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C0101"/>
    <w:multiLevelType w:val="multilevel"/>
    <w:tmpl w:val="71402924"/>
    <w:lvl w:ilvl="0">
      <w:start w:val="1"/>
      <w:numFmt w:val="decimal"/>
      <w:lvlText w:val="%1."/>
      <w:lvlJc w:val="left"/>
      <w:pPr>
        <w:tabs>
          <w:tab w:val="num" w:pos="810"/>
        </w:tabs>
        <w:ind w:left="81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19B42DB"/>
    <w:multiLevelType w:val="hybridMultilevel"/>
    <w:tmpl w:val="20140FBC"/>
    <w:lvl w:ilvl="0" w:tplc="749C002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2850E5"/>
    <w:multiLevelType w:val="multilevel"/>
    <w:tmpl w:val="35D8E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C02BBD"/>
    <w:multiLevelType w:val="hybridMultilevel"/>
    <w:tmpl w:val="CA12CF5C"/>
    <w:lvl w:ilvl="0" w:tplc="A5FC59D6">
      <w:start w:val="1"/>
      <w:numFmt w:val="bullet"/>
      <w:lvlText w:val="-"/>
      <w:lvlJc w:val="left"/>
      <w:pPr>
        <w:ind w:left="480" w:hanging="360"/>
      </w:pPr>
      <w:rPr>
        <w:rFonts w:ascii="Times New Roman" w:eastAsiaTheme="minorHAnsi" w:hAnsi="Times New Roman" w:cs="Times New Roman" w:hint="default"/>
      </w:rPr>
    </w:lvl>
    <w:lvl w:ilvl="1" w:tplc="04090003" w:tentative="1">
      <w:start w:val="1"/>
      <w:numFmt w:val="bullet"/>
      <w:lvlText w:val="o"/>
      <w:lvlJc w:val="left"/>
      <w:pPr>
        <w:ind w:left="1200" w:hanging="360"/>
      </w:pPr>
      <w:rPr>
        <w:rFonts w:ascii="Courier New" w:hAnsi="Courier New" w:cs="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cs="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cs="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4">
    <w:nsid w:val="0B707549"/>
    <w:multiLevelType w:val="hybridMultilevel"/>
    <w:tmpl w:val="620E5290"/>
    <w:lvl w:ilvl="0" w:tplc="95D48A6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2935C2"/>
    <w:multiLevelType w:val="hybridMultilevel"/>
    <w:tmpl w:val="F2D6A2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5E462D"/>
    <w:multiLevelType w:val="hybridMultilevel"/>
    <w:tmpl w:val="CF9895CE"/>
    <w:lvl w:ilvl="0" w:tplc="7CE01D58">
      <w:start w:val="1"/>
      <w:numFmt w:val="lowerRoman"/>
      <w:lvlText w:val="%1."/>
      <w:lvlJc w:val="right"/>
      <w:pPr>
        <w:tabs>
          <w:tab w:val="num" w:pos="720"/>
        </w:tabs>
        <w:ind w:left="720" w:hanging="360"/>
      </w:pPr>
    </w:lvl>
    <w:lvl w:ilvl="1" w:tplc="21FC215C" w:tentative="1">
      <w:start w:val="1"/>
      <w:numFmt w:val="lowerRoman"/>
      <w:lvlText w:val="%2."/>
      <w:lvlJc w:val="right"/>
      <w:pPr>
        <w:tabs>
          <w:tab w:val="num" w:pos="1440"/>
        </w:tabs>
        <w:ind w:left="1440" w:hanging="360"/>
      </w:pPr>
    </w:lvl>
    <w:lvl w:ilvl="2" w:tplc="3D02C09A" w:tentative="1">
      <w:start w:val="1"/>
      <w:numFmt w:val="lowerRoman"/>
      <w:lvlText w:val="%3."/>
      <w:lvlJc w:val="right"/>
      <w:pPr>
        <w:tabs>
          <w:tab w:val="num" w:pos="2160"/>
        </w:tabs>
        <w:ind w:left="2160" w:hanging="360"/>
      </w:pPr>
    </w:lvl>
    <w:lvl w:ilvl="3" w:tplc="5912A07E" w:tentative="1">
      <w:start w:val="1"/>
      <w:numFmt w:val="lowerRoman"/>
      <w:lvlText w:val="%4."/>
      <w:lvlJc w:val="right"/>
      <w:pPr>
        <w:tabs>
          <w:tab w:val="num" w:pos="2880"/>
        </w:tabs>
        <w:ind w:left="2880" w:hanging="360"/>
      </w:pPr>
    </w:lvl>
    <w:lvl w:ilvl="4" w:tplc="807C7814" w:tentative="1">
      <w:start w:val="1"/>
      <w:numFmt w:val="lowerRoman"/>
      <w:lvlText w:val="%5."/>
      <w:lvlJc w:val="right"/>
      <w:pPr>
        <w:tabs>
          <w:tab w:val="num" w:pos="3600"/>
        </w:tabs>
        <w:ind w:left="3600" w:hanging="360"/>
      </w:pPr>
    </w:lvl>
    <w:lvl w:ilvl="5" w:tplc="1660A234" w:tentative="1">
      <w:start w:val="1"/>
      <w:numFmt w:val="lowerRoman"/>
      <w:lvlText w:val="%6."/>
      <w:lvlJc w:val="right"/>
      <w:pPr>
        <w:tabs>
          <w:tab w:val="num" w:pos="4320"/>
        </w:tabs>
        <w:ind w:left="4320" w:hanging="360"/>
      </w:pPr>
    </w:lvl>
    <w:lvl w:ilvl="6" w:tplc="4900086C" w:tentative="1">
      <w:start w:val="1"/>
      <w:numFmt w:val="lowerRoman"/>
      <w:lvlText w:val="%7."/>
      <w:lvlJc w:val="right"/>
      <w:pPr>
        <w:tabs>
          <w:tab w:val="num" w:pos="5040"/>
        </w:tabs>
        <w:ind w:left="5040" w:hanging="360"/>
      </w:pPr>
    </w:lvl>
    <w:lvl w:ilvl="7" w:tplc="6AC0AFC0" w:tentative="1">
      <w:start w:val="1"/>
      <w:numFmt w:val="lowerRoman"/>
      <w:lvlText w:val="%8."/>
      <w:lvlJc w:val="right"/>
      <w:pPr>
        <w:tabs>
          <w:tab w:val="num" w:pos="5760"/>
        </w:tabs>
        <w:ind w:left="5760" w:hanging="360"/>
      </w:pPr>
    </w:lvl>
    <w:lvl w:ilvl="8" w:tplc="E49CD45E" w:tentative="1">
      <w:start w:val="1"/>
      <w:numFmt w:val="lowerRoman"/>
      <w:lvlText w:val="%9."/>
      <w:lvlJc w:val="right"/>
      <w:pPr>
        <w:tabs>
          <w:tab w:val="num" w:pos="6480"/>
        </w:tabs>
        <w:ind w:left="6480" w:hanging="360"/>
      </w:pPr>
    </w:lvl>
  </w:abstractNum>
  <w:abstractNum w:abstractNumId="7">
    <w:nsid w:val="0FD05811"/>
    <w:multiLevelType w:val="hybridMultilevel"/>
    <w:tmpl w:val="6054D7E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10C808AC"/>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531CB7"/>
    <w:multiLevelType w:val="hybridMultilevel"/>
    <w:tmpl w:val="2090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D23731"/>
    <w:multiLevelType w:val="multilevel"/>
    <w:tmpl w:val="28C8E02C"/>
    <w:lvl w:ilvl="0">
      <w:start w:val="2"/>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nsid w:val="25E331C5"/>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C3234A"/>
    <w:multiLevelType w:val="hybridMultilevel"/>
    <w:tmpl w:val="F96AF57E"/>
    <w:lvl w:ilvl="0" w:tplc="63AE87E8">
      <w:start w:val="1"/>
      <w:numFmt w:val="lowerRoman"/>
      <w:lvlText w:val="%1."/>
      <w:lvlJc w:val="right"/>
      <w:pPr>
        <w:tabs>
          <w:tab w:val="num" w:pos="720"/>
        </w:tabs>
        <w:ind w:left="720" w:hanging="360"/>
      </w:pPr>
    </w:lvl>
    <w:lvl w:ilvl="1" w:tplc="4664E3E2" w:tentative="1">
      <w:start w:val="1"/>
      <w:numFmt w:val="lowerRoman"/>
      <w:lvlText w:val="%2."/>
      <w:lvlJc w:val="right"/>
      <w:pPr>
        <w:tabs>
          <w:tab w:val="num" w:pos="1440"/>
        </w:tabs>
        <w:ind w:left="1440" w:hanging="360"/>
      </w:pPr>
    </w:lvl>
    <w:lvl w:ilvl="2" w:tplc="FB767B12" w:tentative="1">
      <w:start w:val="1"/>
      <w:numFmt w:val="lowerRoman"/>
      <w:lvlText w:val="%3."/>
      <w:lvlJc w:val="right"/>
      <w:pPr>
        <w:tabs>
          <w:tab w:val="num" w:pos="2160"/>
        </w:tabs>
        <w:ind w:left="2160" w:hanging="360"/>
      </w:pPr>
    </w:lvl>
    <w:lvl w:ilvl="3" w:tplc="C5144378" w:tentative="1">
      <w:start w:val="1"/>
      <w:numFmt w:val="lowerRoman"/>
      <w:lvlText w:val="%4."/>
      <w:lvlJc w:val="right"/>
      <w:pPr>
        <w:tabs>
          <w:tab w:val="num" w:pos="2880"/>
        </w:tabs>
        <w:ind w:left="2880" w:hanging="360"/>
      </w:pPr>
    </w:lvl>
    <w:lvl w:ilvl="4" w:tplc="CE7C2B9C" w:tentative="1">
      <w:start w:val="1"/>
      <w:numFmt w:val="lowerRoman"/>
      <w:lvlText w:val="%5."/>
      <w:lvlJc w:val="right"/>
      <w:pPr>
        <w:tabs>
          <w:tab w:val="num" w:pos="3600"/>
        </w:tabs>
        <w:ind w:left="3600" w:hanging="360"/>
      </w:pPr>
    </w:lvl>
    <w:lvl w:ilvl="5" w:tplc="56E87F88" w:tentative="1">
      <w:start w:val="1"/>
      <w:numFmt w:val="lowerRoman"/>
      <w:lvlText w:val="%6."/>
      <w:lvlJc w:val="right"/>
      <w:pPr>
        <w:tabs>
          <w:tab w:val="num" w:pos="4320"/>
        </w:tabs>
        <w:ind w:left="4320" w:hanging="360"/>
      </w:pPr>
    </w:lvl>
    <w:lvl w:ilvl="6" w:tplc="0C4C2FE8" w:tentative="1">
      <w:start w:val="1"/>
      <w:numFmt w:val="lowerRoman"/>
      <w:lvlText w:val="%7."/>
      <w:lvlJc w:val="right"/>
      <w:pPr>
        <w:tabs>
          <w:tab w:val="num" w:pos="5040"/>
        </w:tabs>
        <w:ind w:left="5040" w:hanging="360"/>
      </w:pPr>
    </w:lvl>
    <w:lvl w:ilvl="7" w:tplc="3C144DF2" w:tentative="1">
      <w:start w:val="1"/>
      <w:numFmt w:val="lowerRoman"/>
      <w:lvlText w:val="%8."/>
      <w:lvlJc w:val="right"/>
      <w:pPr>
        <w:tabs>
          <w:tab w:val="num" w:pos="5760"/>
        </w:tabs>
        <w:ind w:left="5760" w:hanging="360"/>
      </w:pPr>
    </w:lvl>
    <w:lvl w:ilvl="8" w:tplc="C8A2A022" w:tentative="1">
      <w:start w:val="1"/>
      <w:numFmt w:val="lowerRoman"/>
      <w:lvlText w:val="%9."/>
      <w:lvlJc w:val="right"/>
      <w:pPr>
        <w:tabs>
          <w:tab w:val="num" w:pos="6480"/>
        </w:tabs>
        <w:ind w:left="6480" w:hanging="360"/>
      </w:pPr>
    </w:lvl>
  </w:abstractNum>
  <w:abstractNum w:abstractNumId="13">
    <w:nsid w:val="2BB3375E"/>
    <w:multiLevelType w:val="hybridMultilevel"/>
    <w:tmpl w:val="A32E9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D3220B7"/>
    <w:multiLevelType w:val="hybridMultilevel"/>
    <w:tmpl w:val="C3787D6C"/>
    <w:lvl w:ilvl="0" w:tplc="E9920ABA">
      <w:start w:val="3"/>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491391"/>
    <w:multiLevelType w:val="multilevel"/>
    <w:tmpl w:val="C1A43FFE"/>
    <w:lvl w:ilvl="0">
      <w:start w:val="1"/>
      <w:numFmt w:val="decimal"/>
      <w:lvlText w:val="%1."/>
      <w:lvlJc w:val="left"/>
      <w:pPr>
        <w:tabs>
          <w:tab w:val="num" w:pos="720"/>
        </w:tabs>
        <w:ind w:left="720" w:hanging="360"/>
      </w:pPr>
    </w:lvl>
    <w:lvl w:ilvl="1">
      <w:start w:val="1"/>
      <w:numFmt w:val="decimal"/>
      <w:lvlText w:val="%2."/>
      <w:lvlJc w:val="left"/>
      <w:pPr>
        <w:tabs>
          <w:tab w:val="num" w:pos="720"/>
        </w:tabs>
        <w:ind w:left="72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F452A54"/>
    <w:multiLevelType w:val="multilevel"/>
    <w:tmpl w:val="21285C72"/>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30EA33AB"/>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2C0730"/>
    <w:multiLevelType w:val="hybridMultilevel"/>
    <w:tmpl w:val="61A8CAF8"/>
    <w:lvl w:ilvl="0" w:tplc="0504AD2E">
      <w:start w:val="9"/>
      <w:numFmt w:val="decimal"/>
      <w:lvlText w:val="%1"/>
      <w:lvlJc w:val="left"/>
      <w:pPr>
        <w:ind w:left="360" w:hanging="360"/>
      </w:pPr>
      <w:rPr>
        <w:rFonts w:asciiTheme="minorHAnsi" w:eastAsiaTheme="minorHAnsi" w:hAnsiTheme="minorHAnsi" w:cstheme="minorBidi" w:hint="default"/>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BED3F88"/>
    <w:multiLevelType w:val="multilevel"/>
    <w:tmpl w:val="022CA06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CAE1E59"/>
    <w:multiLevelType w:val="multilevel"/>
    <w:tmpl w:val="D9425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1925281"/>
    <w:multiLevelType w:val="hybridMultilevel"/>
    <w:tmpl w:val="D98A41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323197"/>
    <w:multiLevelType w:val="hybridMultilevel"/>
    <w:tmpl w:val="0324F8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5C67D0A"/>
    <w:multiLevelType w:val="hybridMultilevel"/>
    <w:tmpl w:val="1CBCDD20"/>
    <w:lvl w:ilvl="0" w:tplc="D47298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60A3466"/>
    <w:multiLevelType w:val="hybridMultilevel"/>
    <w:tmpl w:val="FB2A342C"/>
    <w:lvl w:ilvl="0" w:tplc="007869D2">
      <w:start w:val="1"/>
      <w:numFmt w:val="bullet"/>
      <w:lvlText w:val="•"/>
      <w:lvlJc w:val="left"/>
      <w:pPr>
        <w:tabs>
          <w:tab w:val="num" w:pos="720"/>
        </w:tabs>
        <w:ind w:left="720" w:hanging="360"/>
      </w:pPr>
      <w:rPr>
        <w:rFonts w:ascii="Arial" w:hAnsi="Arial" w:hint="default"/>
      </w:rPr>
    </w:lvl>
    <w:lvl w:ilvl="1" w:tplc="F514CA64" w:tentative="1">
      <w:start w:val="1"/>
      <w:numFmt w:val="bullet"/>
      <w:lvlText w:val="•"/>
      <w:lvlJc w:val="left"/>
      <w:pPr>
        <w:tabs>
          <w:tab w:val="num" w:pos="1440"/>
        </w:tabs>
        <w:ind w:left="1440" w:hanging="360"/>
      </w:pPr>
      <w:rPr>
        <w:rFonts w:ascii="Arial" w:hAnsi="Arial" w:hint="default"/>
      </w:rPr>
    </w:lvl>
    <w:lvl w:ilvl="2" w:tplc="0EF8B368" w:tentative="1">
      <w:start w:val="1"/>
      <w:numFmt w:val="bullet"/>
      <w:lvlText w:val="•"/>
      <w:lvlJc w:val="left"/>
      <w:pPr>
        <w:tabs>
          <w:tab w:val="num" w:pos="2160"/>
        </w:tabs>
        <w:ind w:left="2160" w:hanging="360"/>
      </w:pPr>
      <w:rPr>
        <w:rFonts w:ascii="Arial" w:hAnsi="Arial" w:hint="default"/>
      </w:rPr>
    </w:lvl>
    <w:lvl w:ilvl="3" w:tplc="45E609A0" w:tentative="1">
      <w:start w:val="1"/>
      <w:numFmt w:val="bullet"/>
      <w:lvlText w:val="•"/>
      <w:lvlJc w:val="left"/>
      <w:pPr>
        <w:tabs>
          <w:tab w:val="num" w:pos="2880"/>
        </w:tabs>
        <w:ind w:left="2880" w:hanging="360"/>
      </w:pPr>
      <w:rPr>
        <w:rFonts w:ascii="Arial" w:hAnsi="Arial" w:hint="default"/>
      </w:rPr>
    </w:lvl>
    <w:lvl w:ilvl="4" w:tplc="7ADA69C8" w:tentative="1">
      <w:start w:val="1"/>
      <w:numFmt w:val="bullet"/>
      <w:lvlText w:val="•"/>
      <w:lvlJc w:val="left"/>
      <w:pPr>
        <w:tabs>
          <w:tab w:val="num" w:pos="3600"/>
        </w:tabs>
        <w:ind w:left="3600" w:hanging="360"/>
      </w:pPr>
      <w:rPr>
        <w:rFonts w:ascii="Arial" w:hAnsi="Arial" w:hint="default"/>
      </w:rPr>
    </w:lvl>
    <w:lvl w:ilvl="5" w:tplc="87320B2A" w:tentative="1">
      <w:start w:val="1"/>
      <w:numFmt w:val="bullet"/>
      <w:lvlText w:val="•"/>
      <w:lvlJc w:val="left"/>
      <w:pPr>
        <w:tabs>
          <w:tab w:val="num" w:pos="4320"/>
        </w:tabs>
        <w:ind w:left="4320" w:hanging="360"/>
      </w:pPr>
      <w:rPr>
        <w:rFonts w:ascii="Arial" w:hAnsi="Arial" w:hint="default"/>
      </w:rPr>
    </w:lvl>
    <w:lvl w:ilvl="6" w:tplc="B63C8A00" w:tentative="1">
      <w:start w:val="1"/>
      <w:numFmt w:val="bullet"/>
      <w:lvlText w:val="•"/>
      <w:lvlJc w:val="left"/>
      <w:pPr>
        <w:tabs>
          <w:tab w:val="num" w:pos="5040"/>
        </w:tabs>
        <w:ind w:left="5040" w:hanging="360"/>
      </w:pPr>
      <w:rPr>
        <w:rFonts w:ascii="Arial" w:hAnsi="Arial" w:hint="default"/>
      </w:rPr>
    </w:lvl>
    <w:lvl w:ilvl="7" w:tplc="C28275E0" w:tentative="1">
      <w:start w:val="1"/>
      <w:numFmt w:val="bullet"/>
      <w:lvlText w:val="•"/>
      <w:lvlJc w:val="left"/>
      <w:pPr>
        <w:tabs>
          <w:tab w:val="num" w:pos="5760"/>
        </w:tabs>
        <w:ind w:left="5760" w:hanging="360"/>
      </w:pPr>
      <w:rPr>
        <w:rFonts w:ascii="Arial" w:hAnsi="Arial" w:hint="default"/>
      </w:rPr>
    </w:lvl>
    <w:lvl w:ilvl="8" w:tplc="9F226528" w:tentative="1">
      <w:start w:val="1"/>
      <w:numFmt w:val="bullet"/>
      <w:lvlText w:val="•"/>
      <w:lvlJc w:val="left"/>
      <w:pPr>
        <w:tabs>
          <w:tab w:val="num" w:pos="6480"/>
        </w:tabs>
        <w:ind w:left="6480" w:hanging="360"/>
      </w:pPr>
      <w:rPr>
        <w:rFonts w:ascii="Arial" w:hAnsi="Arial" w:hint="default"/>
      </w:rPr>
    </w:lvl>
  </w:abstractNum>
  <w:abstractNum w:abstractNumId="25">
    <w:nsid w:val="47607D75"/>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7D62154"/>
    <w:multiLevelType w:val="multilevel"/>
    <w:tmpl w:val="71402924"/>
    <w:lvl w:ilvl="0">
      <w:start w:val="1"/>
      <w:numFmt w:val="decimal"/>
      <w:lvlText w:val="%1."/>
      <w:lvlJc w:val="left"/>
      <w:pPr>
        <w:tabs>
          <w:tab w:val="num" w:pos="810"/>
        </w:tabs>
        <w:ind w:left="81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9A034F0"/>
    <w:multiLevelType w:val="multilevel"/>
    <w:tmpl w:val="37F287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E9561F1"/>
    <w:multiLevelType w:val="hybridMultilevel"/>
    <w:tmpl w:val="4AF62B92"/>
    <w:lvl w:ilvl="0" w:tplc="C9067B12">
      <w:start w:val="1"/>
      <w:numFmt w:val="lowerRoman"/>
      <w:lvlText w:val="%1."/>
      <w:lvlJc w:val="right"/>
      <w:pPr>
        <w:tabs>
          <w:tab w:val="num" w:pos="720"/>
        </w:tabs>
        <w:ind w:left="720" w:hanging="360"/>
      </w:pPr>
    </w:lvl>
    <w:lvl w:ilvl="1" w:tplc="E3607352" w:tentative="1">
      <w:start w:val="1"/>
      <w:numFmt w:val="lowerRoman"/>
      <w:lvlText w:val="%2."/>
      <w:lvlJc w:val="right"/>
      <w:pPr>
        <w:tabs>
          <w:tab w:val="num" w:pos="1440"/>
        </w:tabs>
        <w:ind w:left="1440" w:hanging="360"/>
      </w:pPr>
    </w:lvl>
    <w:lvl w:ilvl="2" w:tplc="69C07320" w:tentative="1">
      <w:start w:val="1"/>
      <w:numFmt w:val="lowerRoman"/>
      <w:lvlText w:val="%3."/>
      <w:lvlJc w:val="right"/>
      <w:pPr>
        <w:tabs>
          <w:tab w:val="num" w:pos="2160"/>
        </w:tabs>
        <w:ind w:left="2160" w:hanging="360"/>
      </w:pPr>
    </w:lvl>
    <w:lvl w:ilvl="3" w:tplc="0B8A1EEE" w:tentative="1">
      <w:start w:val="1"/>
      <w:numFmt w:val="lowerRoman"/>
      <w:lvlText w:val="%4."/>
      <w:lvlJc w:val="right"/>
      <w:pPr>
        <w:tabs>
          <w:tab w:val="num" w:pos="2880"/>
        </w:tabs>
        <w:ind w:left="2880" w:hanging="360"/>
      </w:pPr>
    </w:lvl>
    <w:lvl w:ilvl="4" w:tplc="048CDF82" w:tentative="1">
      <w:start w:val="1"/>
      <w:numFmt w:val="lowerRoman"/>
      <w:lvlText w:val="%5."/>
      <w:lvlJc w:val="right"/>
      <w:pPr>
        <w:tabs>
          <w:tab w:val="num" w:pos="3600"/>
        </w:tabs>
        <w:ind w:left="3600" w:hanging="360"/>
      </w:pPr>
    </w:lvl>
    <w:lvl w:ilvl="5" w:tplc="14240384" w:tentative="1">
      <w:start w:val="1"/>
      <w:numFmt w:val="lowerRoman"/>
      <w:lvlText w:val="%6."/>
      <w:lvlJc w:val="right"/>
      <w:pPr>
        <w:tabs>
          <w:tab w:val="num" w:pos="4320"/>
        </w:tabs>
        <w:ind w:left="4320" w:hanging="360"/>
      </w:pPr>
    </w:lvl>
    <w:lvl w:ilvl="6" w:tplc="1742BEA6" w:tentative="1">
      <w:start w:val="1"/>
      <w:numFmt w:val="lowerRoman"/>
      <w:lvlText w:val="%7."/>
      <w:lvlJc w:val="right"/>
      <w:pPr>
        <w:tabs>
          <w:tab w:val="num" w:pos="5040"/>
        </w:tabs>
        <w:ind w:left="5040" w:hanging="360"/>
      </w:pPr>
    </w:lvl>
    <w:lvl w:ilvl="7" w:tplc="5DC60D8E" w:tentative="1">
      <w:start w:val="1"/>
      <w:numFmt w:val="lowerRoman"/>
      <w:lvlText w:val="%8."/>
      <w:lvlJc w:val="right"/>
      <w:pPr>
        <w:tabs>
          <w:tab w:val="num" w:pos="5760"/>
        </w:tabs>
        <w:ind w:left="5760" w:hanging="360"/>
      </w:pPr>
    </w:lvl>
    <w:lvl w:ilvl="8" w:tplc="6756D9FE" w:tentative="1">
      <w:start w:val="1"/>
      <w:numFmt w:val="lowerRoman"/>
      <w:lvlText w:val="%9."/>
      <w:lvlJc w:val="right"/>
      <w:pPr>
        <w:tabs>
          <w:tab w:val="num" w:pos="6480"/>
        </w:tabs>
        <w:ind w:left="6480" w:hanging="360"/>
      </w:pPr>
    </w:lvl>
  </w:abstractNum>
  <w:abstractNum w:abstractNumId="29">
    <w:nsid w:val="55D76F29"/>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708209C"/>
    <w:multiLevelType w:val="multilevel"/>
    <w:tmpl w:val="63A0564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D61297C"/>
    <w:multiLevelType w:val="hybridMultilevel"/>
    <w:tmpl w:val="E25EE1CA"/>
    <w:lvl w:ilvl="0" w:tplc="87B8289A">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28F4DC8"/>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2D12DBC"/>
    <w:multiLevelType w:val="multilevel"/>
    <w:tmpl w:val="8DBC090C"/>
    <w:lvl w:ilvl="0">
      <w:start w:val="1"/>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63EC232F"/>
    <w:multiLevelType w:val="hybridMultilevel"/>
    <w:tmpl w:val="02D611D8"/>
    <w:lvl w:ilvl="0" w:tplc="109EE326">
      <w:start w:val="1"/>
      <w:numFmt w:val="bullet"/>
      <w:lvlText w:val="•"/>
      <w:lvlJc w:val="left"/>
      <w:pPr>
        <w:tabs>
          <w:tab w:val="num" w:pos="720"/>
        </w:tabs>
        <w:ind w:left="720" w:hanging="360"/>
      </w:pPr>
      <w:rPr>
        <w:rFonts w:ascii="Arial" w:hAnsi="Arial" w:hint="default"/>
      </w:rPr>
    </w:lvl>
    <w:lvl w:ilvl="1" w:tplc="E27C57D6" w:tentative="1">
      <w:start w:val="1"/>
      <w:numFmt w:val="bullet"/>
      <w:lvlText w:val="•"/>
      <w:lvlJc w:val="left"/>
      <w:pPr>
        <w:tabs>
          <w:tab w:val="num" w:pos="1440"/>
        </w:tabs>
        <w:ind w:left="1440" w:hanging="360"/>
      </w:pPr>
      <w:rPr>
        <w:rFonts w:ascii="Arial" w:hAnsi="Arial" w:hint="default"/>
      </w:rPr>
    </w:lvl>
    <w:lvl w:ilvl="2" w:tplc="00342E5C" w:tentative="1">
      <w:start w:val="1"/>
      <w:numFmt w:val="bullet"/>
      <w:lvlText w:val="•"/>
      <w:lvlJc w:val="left"/>
      <w:pPr>
        <w:tabs>
          <w:tab w:val="num" w:pos="2160"/>
        </w:tabs>
        <w:ind w:left="2160" w:hanging="360"/>
      </w:pPr>
      <w:rPr>
        <w:rFonts w:ascii="Arial" w:hAnsi="Arial" w:hint="default"/>
      </w:rPr>
    </w:lvl>
    <w:lvl w:ilvl="3" w:tplc="0638E0D0" w:tentative="1">
      <w:start w:val="1"/>
      <w:numFmt w:val="bullet"/>
      <w:lvlText w:val="•"/>
      <w:lvlJc w:val="left"/>
      <w:pPr>
        <w:tabs>
          <w:tab w:val="num" w:pos="2880"/>
        </w:tabs>
        <w:ind w:left="2880" w:hanging="360"/>
      </w:pPr>
      <w:rPr>
        <w:rFonts w:ascii="Arial" w:hAnsi="Arial" w:hint="default"/>
      </w:rPr>
    </w:lvl>
    <w:lvl w:ilvl="4" w:tplc="4CEA0A06" w:tentative="1">
      <w:start w:val="1"/>
      <w:numFmt w:val="bullet"/>
      <w:lvlText w:val="•"/>
      <w:lvlJc w:val="left"/>
      <w:pPr>
        <w:tabs>
          <w:tab w:val="num" w:pos="3600"/>
        </w:tabs>
        <w:ind w:left="3600" w:hanging="360"/>
      </w:pPr>
      <w:rPr>
        <w:rFonts w:ascii="Arial" w:hAnsi="Arial" w:hint="default"/>
      </w:rPr>
    </w:lvl>
    <w:lvl w:ilvl="5" w:tplc="C56C448C" w:tentative="1">
      <w:start w:val="1"/>
      <w:numFmt w:val="bullet"/>
      <w:lvlText w:val="•"/>
      <w:lvlJc w:val="left"/>
      <w:pPr>
        <w:tabs>
          <w:tab w:val="num" w:pos="4320"/>
        </w:tabs>
        <w:ind w:left="4320" w:hanging="360"/>
      </w:pPr>
      <w:rPr>
        <w:rFonts w:ascii="Arial" w:hAnsi="Arial" w:hint="default"/>
      </w:rPr>
    </w:lvl>
    <w:lvl w:ilvl="6" w:tplc="1842204E" w:tentative="1">
      <w:start w:val="1"/>
      <w:numFmt w:val="bullet"/>
      <w:lvlText w:val="•"/>
      <w:lvlJc w:val="left"/>
      <w:pPr>
        <w:tabs>
          <w:tab w:val="num" w:pos="5040"/>
        </w:tabs>
        <w:ind w:left="5040" w:hanging="360"/>
      </w:pPr>
      <w:rPr>
        <w:rFonts w:ascii="Arial" w:hAnsi="Arial" w:hint="default"/>
      </w:rPr>
    </w:lvl>
    <w:lvl w:ilvl="7" w:tplc="DA441278" w:tentative="1">
      <w:start w:val="1"/>
      <w:numFmt w:val="bullet"/>
      <w:lvlText w:val="•"/>
      <w:lvlJc w:val="left"/>
      <w:pPr>
        <w:tabs>
          <w:tab w:val="num" w:pos="5760"/>
        </w:tabs>
        <w:ind w:left="5760" w:hanging="360"/>
      </w:pPr>
      <w:rPr>
        <w:rFonts w:ascii="Arial" w:hAnsi="Arial" w:hint="default"/>
      </w:rPr>
    </w:lvl>
    <w:lvl w:ilvl="8" w:tplc="FAB0C98A" w:tentative="1">
      <w:start w:val="1"/>
      <w:numFmt w:val="bullet"/>
      <w:lvlText w:val="•"/>
      <w:lvlJc w:val="left"/>
      <w:pPr>
        <w:tabs>
          <w:tab w:val="num" w:pos="6480"/>
        </w:tabs>
        <w:ind w:left="6480" w:hanging="360"/>
      </w:pPr>
      <w:rPr>
        <w:rFonts w:ascii="Arial" w:hAnsi="Arial" w:hint="default"/>
      </w:rPr>
    </w:lvl>
  </w:abstractNum>
  <w:abstractNum w:abstractNumId="35">
    <w:nsid w:val="67253DE2"/>
    <w:multiLevelType w:val="hybridMultilevel"/>
    <w:tmpl w:val="859C2F58"/>
    <w:lvl w:ilvl="0" w:tplc="C84E13B6">
      <w:start w:val="1"/>
      <w:numFmt w:val="bullet"/>
      <w:lvlText w:val="•"/>
      <w:lvlJc w:val="left"/>
      <w:pPr>
        <w:tabs>
          <w:tab w:val="num" w:pos="720"/>
        </w:tabs>
        <w:ind w:left="720" w:hanging="360"/>
      </w:pPr>
      <w:rPr>
        <w:rFonts w:ascii="Arial" w:hAnsi="Arial" w:hint="default"/>
      </w:rPr>
    </w:lvl>
    <w:lvl w:ilvl="1" w:tplc="ABBCB934" w:tentative="1">
      <w:start w:val="1"/>
      <w:numFmt w:val="bullet"/>
      <w:lvlText w:val="•"/>
      <w:lvlJc w:val="left"/>
      <w:pPr>
        <w:tabs>
          <w:tab w:val="num" w:pos="1440"/>
        </w:tabs>
        <w:ind w:left="1440" w:hanging="360"/>
      </w:pPr>
      <w:rPr>
        <w:rFonts w:ascii="Arial" w:hAnsi="Arial" w:hint="default"/>
      </w:rPr>
    </w:lvl>
    <w:lvl w:ilvl="2" w:tplc="72E64DFC" w:tentative="1">
      <w:start w:val="1"/>
      <w:numFmt w:val="bullet"/>
      <w:lvlText w:val="•"/>
      <w:lvlJc w:val="left"/>
      <w:pPr>
        <w:tabs>
          <w:tab w:val="num" w:pos="2160"/>
        </w:tabs>
        <w:ind w:left="2160" w:hanging="360"/>
      </w:pPr>
      <w:rPr>
        <w:rFonts w:ascii="Arial" w:hAnsi="Arial" w:hint="default"/>
      </w:rPr>
    </w:lvl>
    <w:lvl w:ilvl="3" w:tplc="11D0A8C4" w:tentative="1">
      <w:start w:val="1"/>
      <w:numFmt w:val="bullet"/>
      <w:lvlText w:val="•"/>
      <w:lvlJc w:val="left"/>
      <w:pPr>
        <w:tabs>
          <w:tab w:val="num" w:pos="2880"/>
        </w:tabs>
        <w:ind w:left="2880" w:hanging="360"/>
      </w:pPr>
      <w:rPr>
        <w:rFonts w:ascii="Arial" w:hAnsi="Arial" w:hint="default"/>
      </w:rPr>
    </w:lvl>
    <w:lvl w:ilvl="4" w:tplc="1C4AC250" w:tentative="1">
      <w:start w:val="1"/>
      <w:numFmt w:val="bullet"/>
      <w:lvlText w:val="•"/>
      <w:lvlJc w:val="left"/>
      <w:pPr>
        <w:tabs>
          <w:tab w:val="num" w:pos="3600"/>
        </w:tabs>
        <w:ind w:left="3600" w:hanging="360"/>
      </w:pPr>
      <w:rPr>
        <w:rFonts w:ascii="Arial" w:hAnsi="Arial" w:hint="default"/>
      </w:rPr>
    </w:lvl>
    <w:lvl w:ilvl="5" w:tplc="FAAC28E4" w:tentative="1">
      <w:start w:val="1"/>
      <w:numFmt w:val="bullet"/>
      <w:lvlText w:val="•"/>
      <w:lvlJc w:val="left"/>
      <w:pPr>
        <w:tabs>
          <w:tab w:val="num" w:pos="4320"/>
        </w:tabs>
        <w:ind w:left="4320" w:hanging="360"/>
      </w:pPr>
      <w:rPr>
        <w:rFonts w:ascii="Arial" w:hAnsi="Arial" w:hint="default"/>
      </w:rPr>
    </w:lvl>
    <w:lvl w:ilvl="6" w:tplc="3DD6CAD8" w:tentative="1">
      <w:start w:val="1"/>
      <w:numFmt w:val="bullet"/>
      <w:lvlText w:val="•"/>
      <w:lvlJc w:val="left"/>
      <w:pPr>
        <w:tabs>
          <w:tab w:val="num" w:pos="5040"/>
        </w:tabs>
        <w:ind w:left="5040" w:hanging="360"/>
      </w:pPr>
      <w:rPr>
        <w:rFonts w:ascii="Arial" w:hAnsi="Arial" w:hint="default"/>
      </w:rPr>
    </w:lvl>
    <w:lvl w:ilvl="7" w:tplc="54407124" w:tentative="1">
      <w:start w:val="1"/>
      <w:numFmt w:val="bullet"/>
      <w:lvlText w:val="•"/>
      <w:lvlJc w:val="left"/>
      <w:pPr>
        <w:tabs>
          <w:tab w:val="num" w:pos="5760"/>
        </w:tabs>
        <w:ind w:left="5760" w:hanging="360"/>
      </w:pPr>
      <w:rPr>
        <w:rFonts w:ascii="Arial" w:hAnsi="Arial" w:hint="default"/>
      </w:rPr>
    </w:lvl>
    <w:lvl w:ilvl="8" w:tplc="F3F6A3F8" w:tentative="1">
      <w:start w:val="1"/>
      <w:numFmt w:val="bullet"/>
      <w:lvlText w:val="•"/>
      <w:lvlJc w:val="left"/>
      <w:pPr>
        <w:tabs>
          <w:tab w:val="num" w:pos="6480"/>
        </w:tabs>
        <w:ind w:left="6480" w:hanging="360"/>
      </w:pPr>
      <w:rPr>
        <w:rFonts w:ascii="Arial" w:hAnsi="Arial" w:hint="default"/>
      </w:rPr>
    </w:lvl>
  </w:abstractNum>
  <w:abstractNum w:abstractNumId="36">
    <w:nsid w:val="6B8B0B91"/>
    <w:multiLevelType w:val="multilevel"/>
    <w:tmpl w:val="C6622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BBB2388"/>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21316C6"/>
    <w:multiLevelType w:val="hybridMultilevel"/>
    <w:tmpl w:val="B2F02324"/>
    <w:lvl w:ilvl="0" w:tplc="7D385662">
      <w:start w:val="1"/>
      <w:numFmt w:val="lowerRoman"/>
      <w:lvlText w:val="%1."/>
      <w:lvlJc w:val="right"/>
      <w:pPr>
        <w:tabs>
          <w:tab w:val="num" w:pos="720"/>
        </w:tabs>
        <w:ind w:left="720" w:hanging="360"/>
      </w:pPr>
    </w:lvl>
    <w:lvl w:ilvl="1" w:tplc="4936F75E" w:tentative="1">
      <w:start w:val="1"/>
      <w:numFmt w:val="lowerRoman"/>
      <w:lvlText w:val="%2."/>
      <w:lvlJc w:val="right"/>
      <w:pPr>
        <w:tabs>
          <w:tab w:val="num" w:pos="1440"/>
        </w:tabs>
        <w:ind w:left="1440" w:hanging="360"/>
      </w:pPr>
    </w:lvl>
    <w:lvl w:ilvl="2" w:tplc="69D0F042" w:tentative="1">
      <w:start w:val="1"/>
      <w:numFmt w:val="lowerRoman"/>
      <w:lvlText w:val="%3."/>
      <w:lvlJc w:val="right"/>
      <w:pPr>
        <w:tabs>
          <w:tab w:val="num" w:pos="2160"/>
        </w:tabs>
        <w:ind w:left="2160" w:hanging="360"/>
      </w:pPr>
    </w:lvl>
    <w:lvl w:ilvl="3" w:tplc="D686610E" w:tentative="1">
      <w:start w:val="1"/>
      <w:numFmt w:val="lowerRoman"/>
      <w:lvlText w:val="%4."/>
      <w:lvlJc w:val="right"/>
      <w:pPr>
        <w:tabs>
          <w:tab w:val="num" w:pos="2880"/>
        </w:tabs>
        <w:ind w:left="2880" w:hanging="360"/>
      </w:pPr>
    </w:lvl>
    <w:lvl w:ilvl="4" w:tplc="EEB40F0A" w:tentative="1">
      <w:start w:val="1"/>
      <w:numFmt w:val="lowerRoman"/>
      <w:lvlText w:val="%5."/>
      <w:lvlJc w:val="right"/>
      <w:pPr>
        <w:tabs>
          <w:tab w:val="num" w:pos="3600"/>
        </w:tabs>
        <w:ind w:left="3600" w:hanging="360"/>
      </w:pPr>
    </w:lvl>
    <w:lvl w:ilvl="5" w:tplc="70A85A00" w:tentative="1">
      <w:start w:val="1"/>
      <w:numFmt w:val="lowerRoman"/>
      <w:lvlText w:val="%6."/>
      <w:lvlJc w:val="right"/>
      <w:pPr>
        <w:tabs>
          <w:tab w:val="num" w:pos="4320"/>
        </w:tabs>
        <w:ind w:left="4320" w:hanging="360"/>
      </w:pPr>
    </w:lvl>
    <w:lvl w:ilvl="6" w:tplc="0EE605C0" w:tentative="1">
      <w:start w:val="1"/>
      <w:numFmt w:val="lowerRoman"/>
      <w:lvlText w:val="%7."/>
      <w:lvlJc w:val="right"/>
      <w:pPr>
        <w:tabs>
          <w:tab w:val="num" w:pos="5040"/>
        </w:tabs>
        <w:ind w:left="5040" w:hanging="360"/>
      </w:pPr>
    </w:lvl>
    <w:lvl w:ilvl="7" w:tplc="F998C3B4" w:tentative="1">
      <w:start w:val="1"/>
      <w:numFmt w:val="lowerRoman"/>
      <w:lvlText w:val="%8."/>
      <w:lvlJc w:val="right"/>
      <w:pPr>
        <w:tabs>
          <w:tab w:val="num" w:pos="5760"/>
        </w:tabs>
        <w:ind w:left="5760" w:hanging="360"/>
      </w:pPr>
    </w:lvl>
    <w:lvl w:ilvl="8" w:tplc="7A1849CE" w:tentative="1">
      <w:start w:val="1"/>
      <w:numFmt w:val="lowerRoman"/>
      <w:lvlText w:val="%9."/>
      <w:lvlJc w:val="right"/>
      <w:pPr>
        <w:tabs>
          <w:tab w:val="num" w:pos="6480"/>
        </w:tabs>
        <w:ind w:left="6480" w:hanging="360"/>
      </w:pPr>
    </w:lvl>
  </w:abstractNum>
  <w:abstractNum w:abstractNumId="39">
    <w:nsid w:val="73AF4FD8"/>
    <w:multiLevelType w:val="hybridMultilevel"/>
    <w:tmpl w:val="9CEC9E3E"/>
    <w:lvl w:ilvl="0" w:tplc="38649B62">
      <w:start w:val="1"/>
      <w:numFmt w:val="lowerRoman"/>
      <w:lvlText w:val="%1."/>
      <w:lvlJc w:val="right"/>
      <w:pPr>
        <w:tabs>
          <w:tab w:val="num" w:pos="720"/>
        </w:tabs>
        <w:ind w:left="720" w:hanging="360"/>
      </w:pPr>
    </w:lvl>
    <w:lvl w:ilvl="1" w:tplc="A50C30E4" w:tentative="1">
      <w:start w:val="1"/>
      <w:numFmt w:val="lowerRoman"/>
      <w:lvlText w:val="%2."/>
      <w:lvlJc w:val="right"/>
      <w:pPr>
        <w:tabs>
          <w:tab w:val="num" w:pos="1440"/>
        </w:tabs>
        <w:ind w:left="1440" w:hanging="360"/>
      </w:pPr>
    </w:lvl>
    <w:lvl w:ilvl="2" w:tplc="04326832" w:tentative="1">
      <w:start w:val="1"/>
      <w:numFmt w:val="lowerRoman"/>
      <w:lvlText w:val="%3."/>
      <w:lvlJc w:val="right"/>
      <w:pPr>
        <w:tabs>
          <w:tab w:val="num" w:pos="2160"/>
        </w:tabs>
        <w:ind w:left="2160" w:hanging="360"/>
      </w:pPr>
    </w:lvl>
    <w:lvl w:ilvl="3" w:tplc="D7D0E4E6" w:tentative="1">
      <w:start w:val="1"/>
      <w:numFmt w:val="lowerRoman"/>
      <w:lvlText w:val="%4."/>
      <w:lvlJc w:val="right"/>
      <w:pPr>
        <w:tabs>
          <w:tab w:val="num" w:pos="2880"/>
        </w:tabs>
        <w:ind w:left="2880" w:hanging="360"/>
      </w:pPr>
    </w:lvl>
    <w:lvl w:ilvl="4" w:tplc="C64CC81C" w:tentative="1">
      <w:start w:val="1"/>
      <w:numFmt w:val="lowerRoman"/>
      <w:lvlText w:val="%5."/>
      <w:lvlJc w:val="right"/>
      <w:pPr>
        <w:tabs>
          <w:tab w:val="num" w:pos="3600"/>
        </w:tabs>
        <w:ind w:left="3600" w:hanging="360"/>
      </w:pPr>
    </w:lvl>
    <w:lvl w:ilvl="5" w:tplc="62548458" w:tentative="1">
      <w:start w:val="1"/>
      <w:numFmt w:val="lowerRoman"/>
      <w:lvlText w:val="%6."/>
      <w:lvlJc w:val="right"/>
      <w:pPr>
        <w:tabs>
          <w:tab w:val="num" w:pos="4320"/>
        </w:tabs>
        <w:ind w:left="4320" w:hanging="360"/>
      </w:pPr>
    </w:lvl>
    <w:lvl w:ilvl="6" w:tplc="C88E9616" w:tentative="1">
      <w:start w:val="1"/>
      <w:numFmt w:val="lowerRoman"/>
      <w:lvlText w:val="%7."/>
      <w:lvlJc w:val="right"/>
      <w:pPr>
        <w:tabs>
          <w:tab w:val="num" w:pos="5040"/>
        </w:tabs>
        <w:ind w:left="5040" w:hanging="360"/>
      </w:pPr>
    </w:lvl>
    <w:lvl w:ilvl="7" w:tplc="6E1217BC" w:tentative="1">
      <w:start w:val="1"/>
      <w:numFmt w:val="lowerRoman"/>
      <w:lvlText w:val="%8."/>
      <w:lvlJc w:val="right"/>
      <w:pPr>
        <w:tabs>
          <w:tab w:val="num" w:pos="5760"/>
        </w:tabs>
        <w:ind w:left="5760" w:hanging="360"/>
      </w:pPr>
    </w:lvl>
    <w:lvl w:ilvl="8" w:tplc="ECC26274" w:tentative="1">
      <w:start w:val="1"/>
      <w:numFmt w:val="lowerRoman"/>
      <w:lvlText w:val="%9."/>
      <w:lvlJc w:val="right"/>
      <w:pPr>
        <w:tabs>
          <w:tab w:val="num" w:pos="6480"/>
        </w:tabs>
        <w:ind w:left="6480" w:hanging="360"/>
      </w:pPr>
    </w:lvl>
  </w:abstractNum>
  <w:abstractNum w:abstractNumId="40">
    <w:nsid w:val="759A77C5"/>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7AA7547"/>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961476A"/>
    <w:multiLevelType w:val="multilevel"/>
    <w:tmpl w:val="C35667B6"/>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3">
    <w:nsid w:val="7A347F6B"/>
    <w:multiLevelType w:val="hybridMultilevel"/>
    <w:tmpl w:val="38B83D44"/>
    <w:lvl w:ilvl="0" w:tplc="B89487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174252"/>
    <w:multiLevelType w:val="multilevel"/>
    <w:tmpl w:val="0690209C"/>
    <w:lvl w:ilvl="0">
      <w:start w:val="1"/>
      <w:numFmt w:val="bullet"/>
      <w:lvlText w:val=""/>
      <w:lvlJc w:val="left"/>
      <w:pPr>
        <w:tabs>
          <w:tab w:val="num" w:pos="450"/>
        </w:tabs>
        <w:ind w:left="450" w:hanging="360"/>
      </w:pPr>
      <w:rPr>
        <w:rFonts w:ascii="Symbol" w:hAnsi="Symbol" w:hint="default"/>
        <w:sz w:val="20"/>
      </w:rPr>
    </w:lvl>
    <w:lvl w:ilvl="1" w:tentative="1">
      <w:start w:val="1"/>
      <w:numFmt w:val="bullet"/>
      <w:lvlText w:val="o"/>
      <w:lvlJc w:val="left"/>
      <w:pPr>
        <w:tabs>
          <w:tab w:val="num" w:pos="1170"/>
        </w:tabs>
        <w:ind w:left="1170" w:hanging="360"/>
      </w:pPr>
      <w:rPr>
        <w:rFonts w:ascii="Courier New" w:hAnsi="Courier New" w:hint="default"/>
        <w:sz w:val="20"/>
      </w:rPr>
    </w:lvl>
    <w:lvl w:ilvl="2" w:tentative="1">
      <w:start w:val="1"/>
      <w:numFmt w:val="bullet"/>
      <w:lvlText w:val=""/>
      <w:lvlJc w:val="left"/>
      <w:pPr>
        <w:tabs>
          <w:tab w:val="num" w:pos="1890"/>
        </w:tabs>
        <w:ind w:left="1890" w:hanging="360"/>
      </w:pPr>
      <w:rPr>
        <w:rFonts w:ascii="Wingdings" w:hAnsi="Wingdings" w:hint="default"/>
        <w:sz w:val="20"/>
      </w:rPr>
    </w:lvl>
    <w:lvl w:ilvl="3" w:tentative="1">
      <w:start w:val="1"/>
      <w:numFmt w:val="bullet"/>
      <w:lvlText w:val=""/>
      <w:lvlJc w:val="left"/>
      <w:pPr>
        <w:tabs>
          <w:tab w:val="num" w:pos="2610"/>
        </w:tabs>
        <w:ind w:left="2610" w:hanging="360"/>
      </w:pPr>
      <w:rPr>
        <w:rFonts w:ascii="Wingdings" w:hAnsi="Wingdings" w:hint="default"/>
        <w:sz w:val="20"/>
      </w:rPr>
    </w:lvl>
    <w:lvl w:ilvl="4" w:tentative="1">
      <w:start w:val="1"/>
      <w:numFmt w:val="bullet"/>
      <w:lvlText w:val=""/>
      <w:lvlJc w:val="left"/>
      <w:pPr>
        <w:tabs>
          <w:tab w:val="num" w:pos="3330"/>
        </w:tabs>
        <w:ind w:left="3330" w:hanging="360"/>
      </w:pPr>
      <w:rPr>
        <w:rFonts w:ascii="Wingdings" w:hAnsi="Wingdings" w:hint="default"/>
        <w:sz w:val="20"/>
      </w:rPr>
    </w:lvl>
    <w:lvl w:ilvl="5" w:tentative="1">
      <w:start w:val="1"/>
      <w:numFmt w:val="bullet"/>
      <w:lvlText w:val=""/>
      <w:lvlJc w:val="left"/>
      <w:pPr>
        <w:tabs>
          <w:tab w:val="num" w:pos="4050"/>
        </w:tabs>
        <w:ind w:left="4050" w:hanging="360"/>
      </w:pPr>
      <w:rPr>
        <w:rFonts w:ascii="Wingdings" w:hAnsi="Wingdings" w:hint="default"/>
        <w:sz w:val="20"/>
      </w:rPr>
    </w:lvl>
    <w:lvl w:ilvl="6" w:tentative="1">
      <w:start w:val="1"/>
      <w:numFmt w:val="bullet"/>
      <w:lvlText w:val=""/>
      <w:lvlJc w:val="left"/>
      <w:pPr>
        <w:tabs>
          <w:tab w:val="num" w:pos="4770"/>
        </w:tabs>
        <w:ind w:left="4770" w:hanging="360"/>
      </w:pPr>
      <w:rPr>
        <w:rFonts w:ascii="Wingdings" w:hAnsi="Wingdings" w:hint="default"/>
        <w:sz w:val="20"/>
      </w:rPr>
    </w:lvl>
    <w:lvl w:ilvl="7" w:tentative="1">
      <w:start w:val="1"/>
      <w:numFmt w:val="bullet"/>
      <w:lvlText w:val=""/>
      <w:lvlJc w:val="left"/>
      <w:pPr>
        <w:tabs>
          <w:tab w:val="num" w:pos="5490"/>
        </w:tabs>
        <w:ind w:left="5490" w:hanging="360"/>
      </w:pPr>
      <w:rPr>
        <w:rFonts w:ascii="Wingdings" w:hAnsi="Wingdings" w:hint="default"/>
        <w:sz w:val="20"/>
      </w:rPr>
    </w:lvl>
    <w:lvl w:ilvl="8" w:tentative="1">
      <w:start w:val="1"/>
      <w:numFmt w:val="bullet"/>
      <w:lvlText w:val=""/>
      <w:lvlJc w:val="left"/>
      <w:pPr>
        <w:tabs>
          <w:tab w:val="num" w:pos="6210"/>
        </w:tabs>
        <w:ind w:left="6210" w:hanging="360"/>
      </w:pPr>
      <w:rPr>
        <w:rFonts w:ascii="Wingdings" w:hAnsi="Wingdings" w:hint="default"/>
        <w:sz w:val="20"/>
      </w:rPr>
    </w:lvl>
  </w:abstractNum>
  <w:num w:numId="1">
    <w:abstractNumId w:val="36"/>
  </w:num>
  <w:num w:numId="2">
    <w:abstractNumId w:val="15"/>
  </w:num>
  <w:num w:numId="3">
    <w:abstractNumId w:val="18"/>
  </w:num>
  <w:num w:numId="4">
    <w:abstractNumId w:val="44"/>
  </w:num>
  <w:num w:numId="5">
    <w:abstractNumId w:val="2"/>
  </w:num>
  <w:num w:numId="6">
    <w:abstractNumId w:val="20"/>
  </w:num>
  <w:num w:numId="7">
    <w:abstractNumId w:val="22"/>
  </w:num>
  <w:num w:numId="8">
    <w:abstractNumId w:val="5"/>
  </w:num>
  <w:num w:numId="9">
    <w:abstractNumId w:val="23"/>
  </w:num>
  <w:num w:numId="10">
    <w:abstractNumId w:val="30"/>
  </w:num>
  <w:num w:numId="11">
    <w:abstractNumId w:val="33"/>
  </w:num>
  <w:num w:numId="12">
    <w:abstractNumId w:val="1"/>
  </w:num>
  <w:num w:numId="13">
    <w:abstractNumId w:val="14"/>
  </w:num>
  <w:num w:numId="14">
    <w:abstractNumId w:val="13"/>
  </w:num>
  <w:num w:numId="15">
    <w:abstractNumId w:val="27"/>
  </w:num>
  <w:num w:numId="16">
    <w:abstractNumId w:val="3"/>
  </w:num>
  <w:num w:numId="17">
    <w:abstractNumId w:val="26"/>
  </w:num>
  <w:num w:numId="18">
    <w:abstractNumId w:val="0"/>
  </w:num>
  <w:num w:numId="19">
    <w:abstractNumId w:val="7"/>
  </w:num>
  <w:num w:numId="20">
    <w:abstractNumId w:val="9"/>
  </w:num>
  <w:num w:numId="21">
    <w:abstractNumId w:val="42"/>
  </w:num>
  <w:num w:numId="22">
    <w:abstractNumId w:val="16"/>
  </w:num>
  <w:num w:numId="23">
    <w:abstractNumId w:val="10"/>
  </w:num>
  <w:num w:numId="24">
    <w:abstractNumId w:val="31"/>
  </w:num>
  <w:num w:numId="25">
    <w:abstractNumId w:val="4"/>
  </w:num>
  <w:num w:numId="26">
    <w:abstractNumId w:val="29"/>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num>
  <w:num w:numId="29">
    <w:abstractNumId w:val="8"/>
  </w:num>
  <w:num w:numId="30">
    <w:abstractNumId w:val="11"/>
  </w:num>
  <w:num w:numId="31">
    <w:abstractNumId w:val="34"/>
  </w:num>
  <w:num w:numId="32">
    <w:abstractNumId w:val="35"/>
  </w:num>
  <w:num w:numId="33">
    <w:abstractNumId w:val="24"/>
  </w:num>
  <w:num w:numId="34">
    <w:abstractNumId w:val="41"/>
  </w:num>
  <w:num w:numId="35">
    <w:abstractNumId w:val="32"/>
  </w:num>
  <w:num w:numId="36">
    <w:abstractNumId w:val="17"/>
  </w:num>
  <w:num w:numId="37">
    <w:abstractNumId w:val="25"/>
  </w:num>
  <w:num w:numId="38">
    <w:abstractNumId w:val="43"/>
  </w:num>
  <w:num w:numId="39">
    <w:abstractNumId w:val="40"/>
  </w:num>
  <w:num w:numId="40">
    <w:abstractNumId w:val="39"/>
  </w:num>
  <w:num w:numId="41">
    <w:abstractNumId w:val="6"/>
  </w:num>
  <w:num w:numId="42">
    <w:abstractNumId w:val="19"/>
  </w:num>
  <w:num w:numId="43">
    <w:abstractNumId w:val="12"/>
  </w:num>
  <w:num w:numId="44">
    <w:abstractNumId w:val="38"/>
  </w:num>
  <w:num w:numId="4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34C1"/>
    <w:rsid w:val="000418AB"/>
    <w:rsid w:val="000B2FDC"/>
    <w:rsid w:val="00105754"/>
    <w:rsid w:val="00171FD1"/>
    <w:rsid w:val="002050F4"/>
    <w:rsid w:val="00273AE8"/>
    <w:rsid w:val="002D066D"/>
    <w:rsid w:val="002D7E27"/>
    <w:rsid w:val="00301A90"/>
    <w:rsid w:val="003629A5"/>
    <w:rsid w:val="0036558A"/>
    <w:rsid w:val="003775A9"/>
    <w:rsid w:val="003E3955"/>
    <w:rsid w:val="00440B0B"/>
    <w:rsid w:val="00472345"/>
    <w:rsid w:val="004E4E3E"/>
    <w:rsid w:val="00576E80"/>
    <w:rsid w:val="005B3C99"/>
    <w:rsid w:val="00615855"/>
    <w:rsid w:val="0062719F"/>
    <w:rsid w:val="006357B3"/>
    <w:rsid w:val="00644636"/>
    <w:rsid w:val="006570E1"/>
    <w:rsid w:val="00667DDA"/>
    <w:rsid w:val="006D47C4"/>
    <w:rsid w:val="0072630F"/>
    <w:rsid w:val="00736C8D"/>
    <w:rsid w:val="0080111B"/>
    <w:rsid w:val="008206D8"/>
    <w:rsid w:val="00823B51"/>
    <w:rsid w:val="00826DE6"/>
    <w:rsid w:val="008360DC"/>
    <w:rsid w:val="00877974"/>
    <w:rsid w:val="009702DC"/>
    <w:rsid w:val="009A5E08"/>
    <w:rsid w:val="009E3DFE"/>
    <w:rsid w:val="009F09B9"/>
    <w:rsid w:val="00A025BA"/>
    <w:rsid w:val="00A15E2E"/>
    <w:rsid w:val="00AB0772"/>
    <w:rsid w:val="00AB2B81"/>
    <w:rsid w:val="00AC5649"/>
    <w:rsid w:val="00AF15F9"/>
    <w:rsid w:val="00B22ED8"/>
    <w:rsid w:val="00B753C2"/>
    <w:rsid w:val="00C226E6"/>
    <w:rsid w:val="00C45801"/>
    <w:rsid w:val="00C556C8"/>
    <w:rsid w:val="00CA74D2"/>
    <w:rsid w:val="00CB0819"/>
    <w:rsid w:val="00CD459A"/>
    <w:rsid w:val="00DE6E86"/>
    <w:rsid w:val="00E90A94"/>
    <w:rsid w:val="00E95A86"/>
    <w:rsid w:val="00EE4979"/>
    <w:rsid w:val="00EE71B7"/>
    <w:rsid w:val="00F42317"/>
    <w:rsid w:val="00F934C1"/>
    <w:rsid w:val="00FB54EB"/>
    <w:rsid w:val="00FF49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34C1"/>
    <w:pPr>
      <w:autoSpaceDE w:val="0"/>
      <w:autoSpaceDN w:val="0"/>
      <w:adjustRightInd w:val="0"/>
      <w:spacing w:after="0" w:line="480" w:lineRule="auto"/>
      <w:jc w:val="both"/>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F934C1"/>
    <w:pPr>
      <w:keepNext/>
      <w:keepLines/>
      <w:spacing w:before="480"/>
      <w:jc w:val="center"/>
      <w:outlineLvl w:val="0"/>
    </w:pPr>
    <w:rPr>
      <w:rFonts w:eastAsiaTheme="majorEastAsia" w:cstheme="majorBidi"/>
      <w:b/>
      <w:bCs/>
      <w:color w:val="000000" w:themeColor="text1"/>
      <w:szCs w:val="28"/>
    </w:rPr>
  </w:style>
  <w:style w:type="paragraph" w:styleId="Heading2">
    <w:name w:val="heading 2"/>
    <w:basedOn w:val="Normal"/>
    <w:next w:val="Normal"/>
    <w:link w:val="Heading2Char"/>
    <w:uiPriority w:val="9"/>
    <w:unhideWhenUsed/>
    <w:qFormat/>
    <w:rsid w:val="00F934C1"/>
    <w:pPr>
      <w:keepNext/>
      <w:keepLines/>
      <w:spacing w:before="200"/>
      <w:jc w:val="left"/>
      <w:outlineLvl w:val="1"/>
    </w:pPr>
    <w:rPr>
      <w:rFonts w:eastAsiaTheme="majorEastAsia" w:cstheme="majorBidi"/>
      <w:b/>
      <w:bCs/>
      <w:color w:val="000000" w:themeColor="text1"/>
      <w:szCs w:val="26"/>
    </w:rPr>
  </w:style>
  <w:style w:type="paragraph" w:styleId="Heading3">
    <w:name w:val="heading 3"/>
    <w:basedOn w:val="Normal"/>
    <w:next w:val="Normal"/>
    <w:link w:val="Heading3Char"/>
    <w:uiPriority w:val="9"/>
    <w:unhideWhenUsed/>
    <w:qFormat/>
    <w:rsid w:val="00F934C1"/>
    <w:pPr>
      <w:keepNext/>
      <w:keepLines/>
      <w:spacing w:before="20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F934C1"/>
    <w:pPr>
      <w:keepNext/>
      <w:keepLines/>
      <w:spacing w:before="200" w:line="360" w:lineRule="auto"/>
      <w:outlineLvl w:val="3"/>
    </w:pPr>
    <w:rPr>
      <w:rFonts w:eastAsiaTheme="majorEastAsia" w:cstheme="majorBidi"/>
      <w:b/>
      <w:bCs/>
      <w:iCs/>
      <w:color w:val="000000" w:themeColor="text1"/>
    </w:rPr>
  </w:style>
  <w:style w:type="paragraph" w:styleId="Heading5">
    <w:name w:val="heading 5"/>
    <w:basedOn w:val="Normal"/>
    <w:next w:val="Normal"/>
    <w:link w:val="Heading5Char"/>
    <w:uiPriority w:val="9"/>
    <w:unhideWhenUsed/>
    <w:qFormat/>
    <w:rsid w:val="00F934C1"/>
    <w:pPr>
      <w:keepNext/>
      <w:keepLines/>
      <w:spacing w:before="200" w:line="360" w:lineRule="auto"/>
      <w:outlineLvl w:val="4"/>
    </w:pPr>
    <w:rPr>
      <w:rFonts w:eastAsiaTheme="majorEastAsia" w:cstheme="majorBidi"/>
      <w:b/>
      <w:color w:val="000000" w:themeColor="text1"/>
    </w:rPr>
  </w:style>
  <w:style w:type="paragraph" w:styleId="Heading6">
    <w:name w:val="heading 6"/>
    <w:basedOn w:val="Normal"/>
    <w:next w:val="Normal"/>
    <w:link w:val="Heading6Char"/>
    <w:uiPriority w:val="9"/>
    <w:unhideWhenUsed/>
    <w:qFormat/>
    <w:rsid w:val="00F934C1"/>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34C1"/>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F934C1"/>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F934C1"/>
    <w:rPr>
      <w:rFonts w:ascii="Times New Roman" w:eastAsiaTheme="majorEastAsia" w:hAnsi="Times New Roman" w:cstheme="majorBidi"/>
      <w:b/>
      <w:bCs/>
      <w:color w:val="000000" w:themeColor="text1"/>
      <w:sz w:val="24"/>
      <w:szCs w:val="24"/>
    </w:rPr>
  </w:style>
  <w:style w:type="character" w:customStyle="1" w:styleId="Heading4Char">
    <w:name w:val="Heading 4 Char"/>
    <w:basedOn w:val="DefaultParagraphFont"/>
    <w:link w:val="Heading4"/>
    <w:uiPriority w:val="9"/>
    <w:rsid w:val="00F934C1"/>
    <w:rPr>
      <w:rFonts w:ascii="Times New Roman" w:eastAsiaTheme="majorEastAsia" w:hAnsi="Times New Roman" w:cstheme="majorBidi"/>
      <w:b/>
      <w:bCs/>
      <w:iCs/>
      <w:color w:val="000000" w:themeColor="text1"/>
      <w:sz w:val="24"/>
      <w:szCs w:val="24"/>
    </w:rPr>
  </w:style>
  <w:style w:type="character" w:customStyle="1" w:styleId="Heading5Char">
    <w:name w:val="Heading 5 Char"/>
    <w:basedOn w:val="DefaultParagraphFont"/>
    <w:link w:val="Heading5"/>
    <w:uiPriority w:val="9"/>
    <w:rsid w:val="00F934C1"/>
    <w:rPr>
      <w:rFonts w:ascii="Times New Roman" w:eastAsiaTheme="majorEastAsia" w:hAnsi="Times New Roman" w:cstheme="majorBidi"/>
      <w:b/>
      <w:color w:val="000000" w:themeColor="text1"/>
      <w:sz w:val="24"/>
      <w:szCs w:val="24"/>
    </w:rPr>
  </w:style>
  <w:style w:type="character" w:customStyle="1" w:styleId="Heading6Char">
    <w:name w:val="Heading 6 Char"/>
    <w:basedOn w:val="DefaultParagraphFont"/>
    <w:link w:val="Heading6"/>
    <w:uiPriority w:val="9"/>
    <w:rsid w:val="00F934C1"/>
    <w:rPr>
      <w:rFonts w:asciiTheme="majorHAnsi" w:eastAsiaTheme="majorEastAsia" w:hAnsiTheme="majorHAnsi" w:cstheme="majorBidi"/>
      <w:i/>
      <w:iCs/>
      <w:color w:val="243F60" w:themeColor="accent1" w:themeShade="7F"/>
      <w:sz w:val="24"/>
      <w:szCs w:val="24"/>
    </w:rPr>
  </w:style>
  <w:style w:type="table" w:styleId="TableGrid">
    <w:name w:val="Table Grid"/>
    <w:basedOn w:val="TableNormal"/>
    <w:uiPriority w:val="39"/>
    <w:rsid w:val="00F934C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F934C1"/>
    <w:pPr>
      <w:spacing w:before="100" w:beforeAutospacing="1" w:after="100" w:afterAutospacing="1" w:line="240" w:lineRule="auto"/>
    </w:pPr>
    <w:rPr>
      <w:color w:val="000000"/>
    </w:rPr>
  </w:style>
  <w:style w:type="paragraph" w:styleId="Header">
    <w:name w:val="header"/>
    <w:basedOn w:val="Normal"/>
    <w:link w:val="HeaderChar"/>
    <w:uiPriority w:val="99"/>
    <w:unhideWhenUsed/>
    <w:rsid w:val="00F934C1"/>
    <w:pPr>
      <w:tabs>
        <w:tab w:val="center" w:pos="4680"/>
        <w:tab w:val="right" w:pos="9360"/>
      </w:tabs>
      <w:spacing w:line="240" w:lineRule="auto"/>
    </w:pPr>
  </w:style>
  <w:style w:type="character" w:customStyle="1" w:styleId="HeaderChar">
    <w:name w:val="Header Char"/>
    <w:basedOn w:val="DefaultParagraphFont"/>
    <w:link w:val="Header"/>
    <w:uiPriority w:val="99"/>
    <w:rsid w:val="00F934C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F934C1"/>
    <w:pPr>
      <w:tabs>
        <w:tab w:val="center" w:pos="4680"/>
        <w:tab w:val="right" w:pos="9360"/>
      </w:tabs>
      <w:spacing w:line="240" w:lineRule="auto"/>
    </w:pPr>
  </w:style>
  <w:style w:type="character" w:customStyle="1" w:styleId="FooterChar">
    <w:name w:val="Footer Char"/>
    <w:basedOn w:val="DefaultParagraphFont"/>
    <w:link w:val="Footer"/>
    <w:uiPriority w:val="99"/>
    <w:rsid w:val="00F934C1"/>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934C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34C1"/>
    <w:rPr>
      <w:rFonts w:ascii="Tahoma" w:eastAsia="Times New Roman" w:hAnsi="Tahoma" w:cs="Tahoma"/>
      <w:sz w:val="16"/>
      <w:szCs w:val="16"/>
    </w:rPr>
  </w:style>
  <w:style w:type="character" w:styleId="PlaceholderText">
    <w:name w:val="Placeholder Text"/>
    <w:basedOn w:val="DefaultParagraphFont"/>
    <w:uiPriority w:val="99"/>
    <w:semiHidden/>
    <w:rsid w:val="00F934C1"/>
    <w:rPr>
      <w:color w:val="808080"/>
    </w:rPr>
  </w:style>
  <w:style w:type="character" w:styleId="Hyperlink">
    <w:name w:val="Hyperlink"/>
    <w:basedOn w:val="DefaultParagraphFont"/>
    <w:uiPriority w:val="99"/>
    <w:unhideWhenUsed/>
    <w:rsid w:val="00F934C1"/>
    <w:rPr>
      <w:color w:val="0000FF"/>
      <w:u w:val="single"/>
    </w:rPr>
  </w:style>
  <w:style w:type="character" w:styleId="Strong">
    <w:name w:val="Strong"/>
    <w:basedOn w:val="DefaultParagraphFont"/>
    <w:uiPriority w:val="22"/>
    <w:qFormat/>
    <w:rsid w:val="00F934C1"/>
    <w:rPr>
      <w:b/>
      <w:bCs/>
    </w:rPr>
  </w:style>
  <w:style w:type="paragraph" w:styleId="ListParagraph">
    <w:name w:val="List Paragraph"/>
    <w:basedOn w:val="Normal"/>
    <w:uiPriority w:val="34"/>
    <w:qFormat/>
    <w:rsid w:val="00F934C1"/>
    <w:pPr>
      <w:ind w:left="720"/>
      <w:contextualSpacing/>
    </w:pPr>
  </w:style>
  <w:style w:type="character" w:customStyle="1" w:styleId="yshortcuts">
    <w:name w:val="yshortcuts"/>
    <w:basedOn w:val="DefaultParagraphFont"/>
    <w:rsid w:val="00F934C1"/>
  </w:style>
  <w:style w:type="paragraph" w:styleId="Caption">
    <w:name w:val="caption"/>
    <w:basedOn w:val="Normal"/>
    <w:next w:val="Normal"/>
    <w:uiPriority w:val="35"/>
    <w:unhideWhenUsed/>
    <w:qFormat/>
    <w:rsid w:val="00F934C1"/>
    <w:pPr>
      <w:spacing w:after="200" w:line="240" w:lineRule="auto"/>
    </w:pPr>
    <w:rPr>
      <w:b/>
      <w:bCs/>
      <w:color w:val="4F81BD" w:themeColor="accent1"/>
      <w:sz w:val="18"/>
      <w:szCs w:val="18"/>
    </w:rPr>
  </w:style>
  <w:style w:type="paragraph" w:styleId="NoSpacing">
    <w:name w:val="No Spacing"/>
    <w:uiPriority w:val="1"/>
    <w:qFormat/>
    <w:rsid w:val="00F934C1"/>
    <w:pPr>
      <w:autoSpaceDE w:val="0"/>
      <w:autoSpaceDN w:val="0"/>
      <w:adjustRightInd w:val="0"/>
      <w:spacing w:after="0" w:line="240" w:lineRule="auto"/>
      <w:jc w:val="both"/>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F934C1"/>
    <w:pPr>
      <w:autoSpaceDE/>
      <w:autoSpaceDN/>
      <w:adjustRightInd/>
      <w:spacing w:line="276" w:lineRule="auto"/>
      <w:jc w:val="left"/>
      <w:outlineLvl w:val="9"/>
    </w:pPr>
  </w:style>
  <w:style w:type="paragraph" w:styleId="TOC1">
    <w:name w:val="toc 1"/>
    <w:basedOn w:val="Normal"/>
    <w:next w:val="Normal"/>
    <w:autoRedefine/>
    <w:uiPriority w:val="39"/>
    <w:unhideWhenUsed/>
    <w:qFormat/>
    <w:rsid w:val="00FF4989"/>
    <w:pPr>
      <w:tabs>
        <w:tab w:val="right" w:leader="dot" w:pos="8162"/>
      </w:tabs>
      <w:spacing w:after="240" w:line="360" w:lineRule="auto"/>
      <w:jc w:val="left"/>
    </w:pPr>
    <w:rPr>
      <w:noProof/>
    </w:rPr>
  </w:style>
  <w:style w:type="paragraph" w:styleId="TOC2">
    <w:name w:val="toc 2"/>
    <w:basedOn w:val="Normal"/>
    <w:next w:val="Normal"/>
    <w:autoRedefine/>
    <w:uiPriority w:val="39"/>
    <w:unhideWhenUsed/>
    <w:qFormat/>
    <w:rsid w:val="00EE4979"/>
    <w:pPr>
      <w:tabs>
        <w:tab w:val="right" w:leader="dot" w:pos="8162"/>
        <w:tab w:val="right" w:leader="dot" w:pos="8630"/>
      </w:tabs>
      <w:spacing w:after="240" w:line="360" w:lineRule="auto"/>
      <w:ind w:left="1397" w:right="288" w:hanging="1152"/>
      <w:jc w:val="left"/>
    </w:pPr>
    <w:rPr>
      <w:b/>
      <w:noProof/>
    </w:rPr>
  </w:style>
  <w:style w:type="paragraph" w:styleId="TOC3">
    <w:name w:val="toc 3"/>
    <w:basedOn w:val="Normal"/>
    <w:next w:val="Normal"/>
    <w:autoRedefine/>
    <w:uiPriority w:val="39"/>
    <w:unhideWhenUsed/>
    <w:qFormat/>
    <w:rsid w:val="00EE4979"/>
    <w:pPr>
      <w:tabs>
        <w:tab w:val="right" w:leader="dot" w:pos="8152"/>
      </w:tabs>
      <w:spacing w:after="100"/>
      <w:ind w:left="480"/>
    </w:pPr>
    <w:rPr>
      <w:noProof/>
    </w:rPr>
  </w:style>
  <w:style w:type="paragraph" w:customStyle="1" w:styleId="Pa7">
    <w:name w:val="Pa7"/>
    <w:basedOn w:val="Normal"/>
    <w:next w:val="Normal"/>
    <w:uiPriority w:val="99"/>
    <w:rsid w:val="00F934C1"/>
    <w:pPr>
      <w:spacing w:line="221" w:lineRule="atLeast"/>
      <w:jc w:val="left"/>
    </w:pPr>
    <w:rPr>
      <w:rFonts w:eastAsiaTheme="minorHAnsi"/>
    </w:rPr>
  </w:style>
  <w:style w:type="character" w:customStyle="1" w:styleId="A1">
    <w:name w:val="A1"/>
    <w:uiPriority w:val="99"/>
    <w:rsid w:val="00F934C1"/>
    <w:rPr>
      <w:color w:val="000000"/>
      <w:sz w:val="16"/>
      <w:szCs w:val="16"/>
    </w:rPr>
  </w:style>
  <w:style w:type="character" w:customStyle="1" w:styleId="hw">
    <w:name w:val="hw"/>
    <w:basedOn w:val="DefaultParagraphFont"/>
    <w:rsid w:val="00F934C1"/>
  </w:style>
  <w:style w:type="character" w:customStyle="1" w:styleId="st">
    <w:name w:val="st"/>
    <w:basedOn w:val="DefaultParagraphFont"/>
    <w:rsid w:val="00F934C1"/>
  </w:style>
  <w:style w:type="character" w:styleId="Emphasis">
    <w:name w:val="Emphasis"/>
    <w:basedOn w:val="DefaultParagraphFont"/>
    <w:uiPriority w:val="20"/>
    <w:qFormat/>
    <w:rsid w:val="00F934C1"/>
    <w:rPr>
      <w:i/>
      <w:iCs/>
    </w:rPr>
  </w:style>
  <w:style w:type="paragraph" w:styleId="TOC4">
    <w:name w:val="toc 4"/>
    <w:basedOn w:val="Normal"/>
    <w:next w:val="Normal"/>
    <w:autoRedefine/>
    <w:uiPriority w:val="39"/>
    <w:unhideWhenUsed/>
    <w:rsid w:val="00F934C1"/>
    <w:pPr>
      <w:autoSpaceDE/>
      <w:autoSpaceDN/>
      <w:adjustRightInd/>
      <w:spacing w:after="100" w:line="276" w:lineRule="auto"/>
      <w:ind w:left="660"/>
      <w:jc w:val="left"/>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F934C1"/>
    <w:pPr>
      <w:autoSpaceDE/>
      <w:autoSpaceDN/>
      <w:adjustRightInd/>
      <w:spacing w:after="100" w:line="276" w:lineRule="auto"/>
      <w:ind w:left="880"/>
      <w:jc w:val="left"/>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F934C1"/>
    <w:pPr>
      <w:autoSpaceDE/>
      <w:autoSpaceDN/>
      <w:adjustRightInd/>
      <w:spacing w:after="100" w:line="276" w:lineRule="auto"/>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F934C1"/>
    <w:pPr>
      <w:autoSpaceDE/>
      <w:autoSpaceDN/>
      <w:adjustRightInd/>
      <w:spacing w:after="100" w:line="276" w:lineRule="auto"/>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F934C1"/>
    <w:pPr>
      <w:autoSpaceDE/>
      <w:autoSpaceDN/>
      <w:adjustRightInd/>
      <w:spacing w:after="100" w:line="276" w:lineRule="auto"/>
      <w:ind w:left="1540"/>
      <w:jc w:val="left"/>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F934C1"/>
    <w:pPr>
      <w:autoSpaceDE/>
      <w:autoSpaceDN/>
      <w:adjustRightInd/>
      <w:spacing w:after="100" w:line="276" w:lineRule="auto"/>
      <w:ind w:left="1760"/>
      <w:jc w:val="left"/>
    </w:pPr>
    <w:rPr>
      <w:rFonts w:asciiTheme="minorHAnsi" w:eastAsiaTheme="minorEastAsia" w:hAnsiTheme="minorHAnsi" w:cstheme="minorBidi"/>
      <w:sz w:val="22"/>
      <w:szCs w:val="22"/>
    </w:rPr>
  </w:style>
  <w:style w:type="character" w:styleId="CommentReference">
    <w:name w:val="annotation reference"/>
    <w:basedOn w:val="DefaultParagraphFont"/>
    <w:uiPriority w:val="99"/>
    <w:semiHidden/>
    <w:unhideWhenUsed/>
    <w:rsid w:val="00F934C1"/>
    <w:rPr>
      <w:sz w:val="16"/>
      <w:szCs w:val="16"/>
    </w:rPr>
  </w:style>
  <w:style w:type="paragraph" w:styleId="CommentText">
    <w:name w:val="annotation text"/>
    <w:basedOn w:val="Normal"/>
    <w:link w:val="CommentTextChar"/>
    <w:uiPriority w:val="99"/>
    <w:unhideWhenUsed/>
    <w:rsid w:val="00F934C1"/>
    <w:pPr>
      <w:autoSpaceDE/>
      <w:autoSpaceDN/>
      <w:adjustRightInd/>
      <w:spacing w:after="160" w:line="240" w:lineRule="auto"/>
      <w:jc w:val="left"/>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F934C1"/>
    <w:rPr>
      <w:sz w:val="20"/>
      <w:szCs w:val="20"/>
    </w:rPr>
  </w:style>
  <w:style w:type="paragraph" w:styleId="CommentSubject">
    <w:name w:val="annotation subject"/>
    <w:basedOn w:val="CommentText"/>
    <w:next w:val="CommentText"/>
    <w:link w:val="CommentSubjectChar"/>
    <w:uiPriority w:val="99"/>
    <w:semiHidden/>
    <w:unhideWhenUsed/>
    <w:rsid w:val="00F934C1"/>
    <w:rPr>
      <w:b/>
      <w:bCs/>
    </w:rPr>
  </w:style>
  <w:style w:type="character" w:customStyle="1" w:styleId="CommentSubjectChar">
    <w:name w:val="Comment Subject Char"/>
    <w:basedOn w:val="CommentTextChar"/>
    <w:link w:val="CommentSubject"/>
    <w:uiPriority w:val="99"/>
    <w:semiHidden/>
    <w:rsid w:val="00F934C1"/>
    <w:rPr>
      <w:b/>
      <w:bCs/>
      <w:sz w:val="20"/>
      <w:szCs w:val="20"/>
    </w:rPr>
  </w:style>
  <w:style w:type="table" w:customStyle="1" w:styleId="TableGrid1">
    <w:name w:val="Table Grid1"/>
    <w:basedOn w:val="TableNormal"/>
    <w:next w:val="TableGrid"/>
    <w:uiPriority w:val="39"/>
    <w:rsid w:val="00F934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F934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39"/>
    <w:rsid w:val="00F934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
    <w:name w:val="p"/>
    <w:basedOn w:val="Normal"/>
    <w:rsid w:val="00F934C1"/>
    <w:pPr>
      <w:autoSpaceDE/>
      <w:autoSpaceDN/>
      <w:adjustRightInd/>
      <w:spacing w:before="100" w:beforeAutospacing="1" w:after="100" w:afterAutospacing="1" w:line="240" w:lineRule="auto"/>
      <w:jc w:val="left"/>
    </w:pPr>
  </w:style>
  <w:style w:type="numbering" w:customStyle="1" w:styleId="NoList1">
    <w:name w:val="No List1"/>
    <w:next w:val="NoList"/>
    <w:uiPriority w:val="99"/>
    <w:semiHidden/>
    <w:unhideWhenUsed/>
    <w:rsid w:val="00F934C1"/>
  </w:style>
  <w:style w:type="character" w:styleId="FollowedHyperlink">
    <w:name w:val="FollowedHyperlink"/>
    <w:basedOn w:val="DefaultParagraphFont"/>
    <w:uiPriority w:val="99"/>
    <w:semiHidden/>
    <w:unhideWhenUsed/>
    <w:rsid w:val="00F934C1"/>
    <w:rPr>
      <w:color w:val="800080"/>
      <w:u w:val="single"/>
    </w:rPr>
  </w:style>
  <w:style w:type="character" w:customStyle="1" w:styleId="element-citation">
    <w:name w:val="element-citation"/>
    <w:basedOn w:val="DefaultParagraphFont"/>
    <w:rsid w:val="00F934C1"/>
  </w:style>
  <w:style w:type="character" w:customStyle="1" w:styleId="ref-journal">
    <w:name w:val="ref-journal"/>
    <w:basedOn w:val="DefaultParagraphFont"/>
    <w:rsid w:val="00F934C1"/>
  </w:style>
  <w:style w:type="character" w:customStyle="1" w:styleId="nowrap">
    <w:name w:val="nowrap"/>
    <w:basedOn w:val="DefaultParagraphFont"/>
    <w:rsid w:val="00F934C1"/>
  </w:style>
  <w:style w:type="character" w:customStyle="1" w:styleId="ref-vol">
    <w:name w:val="ref-vol"/>
    <w:basedOn w:val="DefaultParagraphFont"/>
    <w:rsid w:val="00F934C1"/>
  </w:style>
  <w:style w:type="numbering" w:customStyle="1" w:styleId="NoList11">
    <w:name w:val="No List11"/>
    <w:next w:val="NoList"/>
    <w:uiPriority w:val="99"/>
    <w:semiHidden/>
    <w:unhideWhenUsed/>
    <w:rsid w:val="00F934C1"/>
  </w:style>
  <w:style w:type="paragraph" w:customStyle="1" w:styleId="Default">
    <w:name w:val="Default"/>
    <w:rsid w:val="00F934C1"/>
    <w:pPr>
      <w:autoSpaceDE w:val="0"/>
      <w:autoSpaceDN w:val="0"/>
      <w:adjustRightInd w:val="0"/>
      <w:spacing w:after="0" w:line="240" w:lineRule="auto"/>
    </w:pPr>
    <w:rPr>
      <w:rFonts w:ascii="Times New Roman" w:hAnsi="Times New Roman" w:cs="Times New Roman"/>
      <w:color w:val="000000"/>
      <w:sz w:val="24"/>
      <w:szCs w:val="24"/>
    </w:rPr>
  </w:style>
  <w:style w:type="character" w:styleId="LineNumber">
    <w:name w:val="line number"/>
    <w:basedOn w:val="DefaultParagraphFont"/>
    <w:uiPriority w:val="99"/>
    <w:semiHidden/>
    <w:unhideWhenUsed/>
    <w:rsid w:val="00F934C1"/>
  </w:style>
  <w:style w:type="paragraph" w:styleId="TableofFigures">
    <w:name w:val="table of figures"/>
    <w:aliases w:val="Table 4.1: Method Validation parameters."/>
    <w:basedOn w:val="Normal"/>
    <w:next w:val="Normal"/>
    <w:autoRedefine/>
    <w:uiPriority w:val="99"/>
    <w:unhideWhenUsed/>
    <w:qFormat/>
    <w:rsid w:val="00F934C1"/>
    <w:pPr>
      <w:tabs>
        <w:tab w:val="right" w:leader="dot" w:pos="8162"/>
      </w:tabs>
      <w:spacing w:line="360" w:lineRule="auto"/>
      <w:ind w:left="1152" w:right="432" w:hanging="1152"/>
      <w:jc w:val="left"/>
    </w:pPr>
  </w:style>
  <w:style w:type="paragraph" w:styleId="Revision">
    <w:name w:val="Revision"/>
    <w:hidden/>
    <w:uiPriority w:val="99"/>
    <w:semiHidden/>
    <w:rsid w:val="00F934C1"/>
    <w:pPr>
      <w:spacing w:after="0" w:line="240" w:lineRule="auto"/>
    </w:pPr>
    <w:rPr>
      <w:rFonts w:ascii="Times New Roman" w:eastAsia="Times New Roman" w:hAnsi="Times New Roman" w:cs="Times New Roman"/>
      <w:sz w:val="24"/>
      <w:szCs w:val="24"/>
    </w:rPr>
  </w:style>
  <w:style w:type="paragraph" w:styleId="Index1">
    <w:name w:val="index 1"/>
    <w:basedOn w:val="Normal"/>
    <w:next w:val="Normal"/>
    <w:autoRedefine/>
    <w:uiPriority w:val="99"/>
    <w:semiHidden/>
    <w:unhideWhenUsed/>
    <w:rsid w:val="00F934C1"/>
    <w:pPr>
      <w:spacing w:line="240" w:lineRule="auto"/>
      <w:ind w:left="240" w:hanging="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34C1"/>
    <w:pPr>
      <w:autoSpaceDE w:val="0"/>
      <w:autoSpaceDN w:val="0"/>
      <w:adjustRightInd w:val="0"/>
      <w:spacing w:after="0" w:line="480" w:lineRule="auto"/>
      <w:jc w:val="both"/>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F934C1"/>
    <w:pPr>
      <w:keepNext/>
      <w:keepLines/>
      <w:spacing w:before="480"/>
      <w:jc w:val="center"/>
      <w:outlineLvl w:val="0"/>
    </w:pPr>
    <w:rPr>
      <w:rFonts w:eastAsiaTheme="majorEastAsia" w:cstheme="majorBidi"/>
      <w:b/>
      <w:bCs/>
      <w:color w:val="000000" w:themeColor="text1"/>
      <w:szCs w:val="28"/>
    </w:rPr>
  </w:style>
  <w:style w:type="paragraph" w:styleId="Heading2">
    <w:name w:val="heading 2"/>
    <w:basedOn w:val="Normal"/>
    <w:next w:val="Normal"/>
    <w:link w:val="Heading2Char"/>
    <w:uiPriority w:val="9"/>
    <w:unhideWhenUsed/>
    <w:qFormat/>
    <w:rsid w:val="00F934C1"/>
    <w:pPr>
      <w:keepNext/>
      <w:keepLines/>
      <w:spacing w:before="200"/>
      <w:jc w:val="left"/>
      <w:outlineLvl w:val="1"/>
    </w:pPr>
    <w:rPr>
      <w:rFonts w:eastAsiaTheme="majorEastAsia" w:cstheme="majorBidi"/>
      <w:b/>
      <w:bCs/>
      <w:color w:val="000000" w:themeColor="text1"/>
      <w:szCs w:val="26"/>
    </w:rPr>
  </w:style>
  <w:style w:type="paragraph" w:styleId="Heading3">
    <w:name w:val="heading 3"/>
    <w:basedOn w:val="Normal"/>
    <w:next w:val="Normal"/>
    <w:link w:val="Heading3Char"/>
    <w:uiPriority w:val="9"/>
    <w:unhideWhenUsed/>
    <w:qFormat/>
    <w:rsid w:val="00F934C1"/>
    <w:pPr>
      <w:keepNext/>
      <w:keepLines/>
      <w:spacing w:before="20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F934C1"/>
    <w:pPr>
      <w:keepNext/>
      <w:keepLines/>
      <w:spacing w:before="200" w:line="360" w:lineRule="auto"/>
      <w:outlineLvl w:val="3"/>
    </w:pPr>
    <w:rPr>
      <w:rFonts w:eastAsiaTheme="majorEastAsia" w:cstheme="majorBidi"/>
      <w:b/>
      <w:bCs/>
      <w:iCs/>
      <w:color w:val="000000" w:themeColor="text1"/>
    </w:rPr>
  </w:style>
  <w:style w:type="paragraph" w:styleId="Heading5">
    <w:name w:val="heading 5"/>
    <w:basedOn w:val="Normal"/>
    <w:next w:val="Normal"/>
    <w:link w:val="Heading5Char"/>
    <w:uiPriority w:val="9"/>
    <w:unhideWhenUsed/>
    <w:qFormat/>
    <w:rsid w:val="00F934C1"/>
    <w:pPr>
      <w:keepNext/>
      <w:keepLines/>
      <w:spacing w:before="200" w:line="360" w:lineRule="auto"/>
      <w:outlineLvl w:val="4"/>
    </w:pPr>
    <w:rPr>
      <w:rFonts w:eastAsiaTheme="majorEastAsia" w:cstheme="majorBidi"/>
      <w:b/>
      <w:color w:val="000000" w:themeColor="text1"/>
    </w:rPr>
  </w:style>
  <w:style w:type="paragraph" w:styleId="Heading6">
    <w:name w:val="heading 6"/>
    <w:basedOn w:val="Normal"/>
    <w:next w:val="Normal"/>
    <w:link w:val="Heading6Char"/>
    <w:uiPriority w:val="9"/>
    <w:unhideWhenUsed/>
    <w:qFormat/>
    <w:rsid w:val="00F934C1"/>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34C1"/>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F934C1"/>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F934C1"/>
    <w:rPr>
      <w:rFonts w:ascii="Times New Roman" w:eastAsiaTheme="majorEastAsia" w:hAnsi="Times New Roman" w:cstheme="majorBidi"/>
      <w:b/>
      <w:bCs/>
      <w:color w:val="000000" w:themeColor="text1"/>
      <w:sz w:val="24"/>
      <w:szCs w:val="24"/>
    </w:rPr>
  </w:style>
  <w:style w:type="character" w:customStyle="1" w:styleId="Heading4Char">
    <w:name w:val="Heading 4 Char"/>
    <w:basedOn w:val="DefaultParagraphFont"/>
    <w:link w:val="Heading4"/>
    <w:uiPriority w:val="9"/>
    <w:rsid w:val="00F934C1"/>
    <w:rPr>
      <w:rFonts w:ascii="Times New Roman" w:eastAsiaTheme="majorEastAsia" w:hAnsi="Times New Roman" w:cstheme="majorBidi"/>
      <w:b/>
      <w:bCs/>
      <w:iCs/>
      <w:color w:val="000000" w:themeColor="text1"/>
      <w:sz w:val="24"/>
      <w:szCs w:val="24"/>
    </w:rPr>
  </w:style>
  <w:style w:type="character" w:customStyle="1" w:styleId="Heading5Char">
    <w:name w:val="Heading 5 Char"/>
    <w:basedOn w:val="DefaultParagraphFont"/>
    <w:link w:val="Heading5"/>
    <w:uiPriority w:val="9"/>
    <w:rsid w:val="00F934C1"/>
    <w:rPr>
      <w:rFonts w:ascii="Times New Roman" w:eastAsiaTheme="majorEastAsia" w:hAnsi="Times New Roman" w:cstheme="majorBidi"/>
      <w:b/>
      <w:color w:val="000000" w:themeColor="text1"/>
      <w:sz w:val="24"/>
      <w:szCs w:val="24"/>
    </w:rPr>
  </w:style>
  <w:style w:type="character" w:customStyle="1" w:styleId="Heading6Char">
    <w:name w:val="Heading 6 Char"/>
    <w:basedOn w:val="DefaultParagraphFont"/>
    <w:link w:val="Heading6"/>
    <w:uiPriority w:val="9"/>
    <w:rsid w:val="00F934C1"/>
    <w:rPr>
      <w:rFonts w:asciiTheme="majorHAnsi" w:eastAsiaTheme="majorEastAsia" w:hAnsiTheme="majorHAnsi" w:cstheme="majorBidi"/>
      <w:i/>
      <w:iCs/>
      <w:color w:val="243F60" w:themeColor="accent1" w:themeShade="7F"/>
      <w:sz w:val="24"/>
      <w:szCs w:val="24"/>
    </w:rPr>
  </w:style>
  <w:style w:type="table" w:styleId="TableGrid">
    <w:name w:val="Table Grid"/>
    <w:basedOn w:val="TableNormal"/>
    <w:uiPriority w:val="39"/>
    <w:rsid w:val="00F934C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F934C1"/>
    <w:pPr>
      <w:spacing w:before="100" w:beforeAutospacing="1" w:after="100" w:afterAutospacing="1" w:line="240" w:lineRule="auto"/>
    </w:pPr>
    <w:rPr>
      <w:color w:val="000000"/>
    </w:rPr>
  </w:style>
  <w:style w:type="paragraph" w:styleId="Header">
    <w:name w:val="header"/>
    <w:basedOn w:val="Normal"/>
    <w:link w:val="HeaderChar"/>
    <w:uiPriority w:val="99"/>
    <w:unhideWhenUsed/>
    <w:rsid w:val="00F934C1"/>
    <w:pPr>
      <w:tabs>
        <w:tab w:val="center" w:pos="4680"/>
        <w:tab w:val="right" w:pos="9360"/>
      </w:tabs>
      <w:spacing w:line="240" w:lineRule="auto"/>
    </w:pPr>
  </w:style>
  <w:style w:type="character" w:customStyle="1" w:styleId="HeaderChar">
    <w:name w:val="Header Char"/>
    <w:basedOn w:val="DefaultParagraphFont"/>
    <w:link w:val="Header"/>
    <w:uiPriority w:val="99"/>
    <w:rsid w:val="00F934C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F934C1"/>
    <w:pPr>
      <w:tabs>
        <w:tab w:val="center" w:pos="4680"/>
        <w:tab w:val="right" w:pos="9360"/>
      </w:tabs>
      <w:spacing w:line="240" w:lineRule="auto"/>
    </w:pPr>
  </w:style>
  <w:style w:type="character" w:customStyle="1" w:styleId="FooterChar">
    <w:name w:val="Footer Char"/>
    <w:basedOn w:val="DefaultParagraphFont"/>
    <w:link w:val="Footer"/>
    <w:uiPriority w:val="99"/>
    <w:rsid w:val="00F934C1"/>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934C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34C1"/>
    <w:rPr>
      <w:rFonts w:ascii="Tahoma" w:eastAsia="Times New Roman" w:hAnsi="Tahoma" w:cs="Tahoma"/>
      <w:sz w:val="16"/>
      <w:szCs w:val="16"/>
    </w:rPr>
  </w:style>
  <w:style w:type="character" w:styleId="PlaceholderText">
    <w:name w:val="Placeholder Text"/>
    <w:basedOn w:val="DefaultParagraphFont"/>
    <w:uiPriority w:val="99"/>
    <w:semiHidden/>
    <w:rsid w:val="00F934C1"/>
    <w:rPr>
      <w:color w:val="808080"/>
    </w:rPr>
  </w:style>
  <w:style w:type="character" w:styleId="Hyperlink">
    <w:name w:val="Hyperlink"/>
    <w:basedOn w:val="DefaultParagraphFont"/>
    <w:uiPriority w:val="99"/>
    <w:unhideWhenUsed/>
    <w:rsid w:val="00F934C1"/>
    <w:rPr>
      <w:color w:val="0000FF"/>
      <w:u w:val="single"/>
    </w:rPr>
  </w:style>
  <w:style w:type="character" w:styleId="Strong">
    <w:name w:val="Strong"/>
    <w:basedOn w:val="DefaultParagraphFont"/>
    <w:uiPriority w:val="22"/>
    <w:qFormat/>
    <w:rsid w:val="00F934C1"/>
    <w:rPr>
      <w:b/>
      <w:bCs/>
    </w:rPr>
  </w:style>
  <w:style w:type="paragraph" w:styleId="ListParagraph">
    <w:name w:val="List Paragraph"/>
    <w:basedOn w:val="Normal"/>
    <w:uiPriority w:val="34"/>
    <w:qFormat/>
    <w:rsid w:val="00F934C1"/>
    <w:pPr>
      <w:ind w:left="720"/>
      <w:contextualSpacing/>
    </w:pPr>
  </w:style>
  <w:style w:type="character" w:customStyle="1" w:styleId="yshortcuts">
    <w:name w:val="yshortcuts"/>
    <w:basedOn w:val="DefaultParagraphFont"/>
    <w:rsid w:val="00F934C1"/>
  </w:style>
  <w:style w:type="paragraph" w:styleId="Caption">
    <w:name w:val="caption"/>
    <w:basedOn w:val="Normal"/>
    <w:next w:val="Normal"/>
    <w:uiPriority w:val="35"/>
    <w:unhideWhenUsed/>
    <w:qFormat/>
    <w:rsid w:val="00F934C1"/>
    <w:pPr>
      <w:spacing w:after="200" w:line="240" w:lineRule="auto"/>
    </w:pPr>
    <w:rPr>
      <w:b/>
      <w:bCs/>
      <w:color w:val="4F81BD" w:themeColor="accent1"/>
      <w:sz w:val="18"/>
      <w:szCs w:val="18"/>
    </w:rPr>
  </w:style>
  <w:style w:type="paragraph" w:styleId="NoSpacing">
    <w:name w:val="No Spacing"/>
    <w:uiPriority w:val="1"/>
    <w:qFormat/>
    <w:rsid w:val="00F934C1"/>
    <w:pPr>
      <w:autoSpaceDE w:val="0"/>
      <w:autoSpaceDN w:val="0"/>
      <w:adjustRightInd w:val="0"/>
      <w:spacing w:after="0" w:line="240" w:lineRule="auto"/>
      <w:jc w:val="both"/>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F934C1"/>
    <w:pPr>
      <w:autoSpaceDE/>
      <w:autoSpaceDN/>
      <w:adjustRightInd/>
      <w:spacing w:line="276" w:lineRule="auto"/>
      <w:jc w:val="left"/>
      <w:outlineLvl w:val="9"/>
    </w:pPr>
  </w:style>
  <w:style w:type="paragraph" w:styleId="TOC1">
    <w:name w:val="toc 1"/>
    <w:basedOn w:val="Normal"/>
    <w:next w:val="Normal"/>
    <w:autoRedefine/>
    <w:uiPriority w:val="39"/>
    <w:unhideWhenUsed/>
    <w:qFormat/>
    <w:rsid w:val="00FF4989"/>
    <w:pPr>
      <w:tabs>
        <w:tab w:val="right" w:leader="dot" w:pos="8162"/>
      </w:tabs>
      <w:spacing w:after="240" w:line="360" w:lineRule="auto"/>
      <w:jc w:val="left"/>
    </w:pPr>
    <w:rPr>
      <w:noProof/>
    </w:rPr>
  </w:style>
  <w:style w:type="paragraph" w:styleId="TOC2">
    <w:name w:val="toc 2"/>
    <w:basedOn w:val="Normal"/>
    <w:next w:val="Normal"/>
    <w:autoRedefine/>
    <w:uiPriority w:val="39"/>
    <w:unhideWhenUsed/>
    <w:qFormat/>
    <w:rsid w:val="00EE4979"/>
    <w:pPr>
      <w:tabs>
        <w:tab w:val="right" w:leader="dot" w:pos="8162"/>
        <w:tab w:val="right" w:leader="dot" w:pos="8630"/>
      </w:tabs>
      <w:spacing w:after="240" w:line="360" w:lineRule="auto"/>
      <w:ind w:left="1397" w:right="288" w:hanging="1152"/>
      <w:jc w:val="left"/>
    </w:pPr>
    <w:rPr>
      <w:b/>
      <w:noProof/>
    </w:rPr>
  </w:style>
  <w:style w:type="paragraph" w:styleId="TOC3">
    <w:name w:val="toc 3"/>
    <w:basedOn w:val="Normal"/>
    <w:next w:val="Normal"/>
    <w:autoRedefine/>
    <w:uiPriority w:val="39"/>
    <w:unhideWhenUsed/>
    <w:qFormat/>
    <w:rsid w:val="00EE4979"/>
    <w:pPr>
      <w:tabs>
        <w:tab w:val="right" w:leader="dot" w:pos="8152"/>
      </w:tabs>
      <w:spacing w:after="100"/>
      <w:ind w:left="480"/>
    </w:pPr>
    <w:rPr>
      <w:noProof/>
    </w:rPr>
  </w:style>
  <w:style w:type="paragraph" w:customStyle="1" w:styleId="Pa7">
    <w:name w:val="Pa7"/>
    <w:basedOn w:val="Normal"/>
    <w:next w:val="Normal"/>
    <w:uiPriority w:val="99"/>
    <w:rsid w:val="00F934C1"/>
    <w:pPr>
      <w:spacing w:line="221" w:lineRule="atLeast"/>
      <w:jc w:val="left"/>
    </w:pPr>
    <w:rPr>
      <w:rFonts w:eastAsiaTheme="minorHAnsi"/>
    </w:rPr>
  </w:style>
  <w:style w:type="character" w:customStyle="1" w:styleId="A1">
    <w:name w:val="A1"/>
    <w:uiPriority w:val="99"/>
    <w:rsid w:val="00F934C1"/>
    <w:rPr>
      <w:color w:val="000000"/>
      <w:sz w:val="16"/>
      <w:szCs w:val="16"/>
    </w:rPr>
  </w:style>
  <w:style w:type="character" w:customStyle="1" w:styleId="hw">
    <w:name w:val="hw"/>
    <w:basedOn w:val="DefaultParagraphFont"/>
    <w:rsid w:val="00F934C1"/>
  </w:style>
  <w:style w:type="character" w:customStyle="1" w:styleId="st">
    <w:name w:val="st"/>
    <w:basedOn w:val="DefaultParagraphFont"/>
    <w:rsid w:val="00F934C1"/>
  </w:style>
  <w:style w:type="character" w:styleId="Emphasis">
    <w:name w:val="Emphasis"/>
    <w:basedOn w:val="DefaultParagraphFont"/>
    <w:uiPriority w:val="20"/>
    <w:qFormat/>
    <w:rsid w:val="00F934C1"/>
    <w:rPr>
      <w:i/>
      <w:iCs/>
    </w:rPr>
  </w:style>
  <w:style w:type="paragraph" w:styleId="TOC4">
    <w:name w:val="toc 4"/>
    <w:basedOn w:val="Normal"/>
    <w:next w:val="Normal"/>
    <w:autoRedefine/>
    <w:uiPriority w:val="39"/>
    <w:unhideWhenUsed/>
    <w:rsid w:val="00F934C1"/>
    <w:pPr>
      <w:autoSpaceDE/>
      <w:autoSpaceDN/>
      <w:adjustRightInd/>
      <w:spacing w:after="100" w:line="276" w:lineRule="auto"/>
      <w:ind w:left="660"/>
      <w:jc w:val="left"/>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F934C1"/>
    <w:pPr>
      <w:autoSpaceDE/>
      <w:autoSpaceDN/>
      <w:adjustRightInd/>
      <w:spacing w:after="100" w:line="276" w:lineRule="auto"/>
      <w:ind w:left="880"/>
      <w:jc w:val="left"/>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F934C1"/>
    <w:pPr>
      <w:autoSpaceDE/>
      <w:autoSpaceDN/>
      <w:adjustRightInd/>
      <w:spacing w:after="100" w:line="276" w:lineRule="auto"/>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F934C1"/>
    <w:pPr>
      <w:autoSpaceDE/>
      <w:autoSpaceDN/>
      <w:adjustRightInd/>
      <w:spacing w:after="100" w:line="276" w:lineRule="auto"/>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F934C1"/>
    <w:pPr>
      <w:autoSpaceDE/>
      <w:autoSpaceDN/>
      <w:adjustRightInd/>
      <w:spacing w:after="100" w:line="276" w:lineRule="auto"/>
      <w:ind w:left="1540"/>
      <w:jc w:val="left"/>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F934C1"/>
    <w:pPr>
      <w:autoSpaceDE/>
      <w:autoSpaceDN/>
      <w:adjustRightInd/>
      <w:spacing w:after="100" w:line="276" w:lineRule="auto"/>
      <w:ind w:left="1760"/>
      <w:jc w:val="left"/>
    </w:pPr>
    <w:rPr>
      <w:rFonts w:asciiTheme="minorHAnsi" w:eastAsiaTheme="minorEastAsia" w:hAnsiTheme="minorHAnsi" w:cstheme="minorBidi"/>
      <w:sz w:val="22"/>
      <w:szCs w:val="22"/>
    </w:rPr>
  </w:style>
  <w:style w:type="character" w:styleId="CommentReference">
    <w:name w:val="annotation reference"/>
    <w:basedOn w:val="DefaultParagraphFont"/>
    <w:uiPriority w:val="99"/>
    <w:semiHidden/>
    <w:unhideWhenUsed/>
    <w:rsid w:val="00F934C1"/>
    <w:rPr>
      <w:sz w:val="16"/>
      <w:szCs w:val="16"/>
    </w:rPr>
  </w:style>
  <w:style w:type="paragraph" w:styleId="CommentText">
    <w:name w:val="annotation text"/>
    <w:basedOn w:val="Normal"/>
    <w:link w:val="CommentTextChar"/>
    <w:uiPriority w:val="99"/>
    <w:unhideWhenUsed/>
    <w:rsid w:val="00F934C1"/>
    <w:pPr>
      <w:autoSpaceDE/>
      <w:autoSpaceDN/>
      <w:adjustRightInd/>
      <w:spacing w:after="160" w:line="240" w:lineRule="auto"/>
      <w:jc w:val="left"/>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F934C1"/>
    <w:rPr>
      <w:sz w:val="20"/>
      <w:szCs w:val="20"/>
    </w:rPr>
  </w:style>
  <w:style w:type="paragraph" w:styleId="CommentSubject">
    <w:name w:val="annotation subject"/>
    <w:basedOn w:val="CommentText"/>
    <w:next w:val="CommentText"/>
    <w:link w:val="CommentSubjectChar"/>
    <w:uiPriority w:val="99"/>
    <w:semiHidden/>
    <w:unhideWhenUsed/>
    <w:rsid w:val="00F934C1"/>
    <w:rPr>
      <w:b/>
      <w:bCs/>
    </w:rPr>
  </w:style>
  <w:style w:type="character" w:customStyle="1" w:styleId="CommentSubjectChar">
    <w:name w:val="Comment Subject Char"/>
    <w:basedOn w:val="CommentTextChar"/>
    <w:link w:val="CommentSubject"/>
    <w:uiPriority w:val="99"/>
    <w:semiHidden/>
    <w:rsid w:val="00F934C1"/>
    <w:rPr>
      <w:b/>
      <w:bCs/>
      <w:sz w:val="20"/>
      <w:szCs w:val="20"/>
    </w:rPr>
  </w:style>
  <w:style w:type="table" w:customStyle="1" w:styleId="TableGrid1">
    <w:name w:val="Table Grid1"/>
    <w:basedOn w:val="TableNormal"/>
    <w:next w:val="TableGrid"/>
    <w:uiPriority w:val="39"/>
    <w:rsid w:val="00F934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F934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39"/>
    <w:rsid w:val="00F934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
    <w:name w:val="p"/>
    <w:basedOn w:val="Normal"/>
    <w:rsid w:val="00F934C1"/>
    <w:pPr>
      <w:autoSpaceDE/>
      <w:autoSpaceDN/>
      <w:adjustRightInd/>
      <w:spacing w:before="100" w:beforeAutospacing="1" w:after="100" w:afterAutospacing="1" w:line="240" w:lineRule="auto"/>
      <w:jc w:val="left"/>
    </w:pPr>
  </w:style>
  <w:style w:type="numbering" w:customStyle="1" w:styleId="NoList1">
    <w:name w:val="No List1"/>
    <w:next w:val="NoList"/>
    <w:uiPriority w:val="99"/>
    <w:semiHidden/>
    <w:unhideWhenUsed/>
    <w:rsid w:val="00F934C1"/>
  </w:style>
  <w:style w:type="character" w:styleId="FollowedHyperlink">
    <w:name w:val="FollowedHyperlink"/>
    <w:basedOn w:val="DefaultParagraphFont"/>
    <w:uiPriority w:val="99"/>
    <w:semiHidden/>
    <w:unhideWhenUsed/>
    <w:rsid w:val="00F934C1"/>
    <w:rPr>
      <w:color w:val="800080"/>
      <w:u w:val="single"/>
    </w:rPr>
  </w:style>
  <w:style w:type="character" w:customStyle="1" w:styleId="element-citation">
    <w:name w:val="element-citation"/>
    <w:basedOn w:val="DefaultParagraphFont"/>
    <w:rsid w:val="00F934C1"/>
  </w:style>
  <w:style w:type="character" w:customStyle="1" w:styleId="ref-journal">
    <w:name w:val="ref-journal"/>
    <w:basedOn w:val="DefaultParagraphFont"/>
    <w:rsid w:val="00F934C1"/>
  </w:style>
  <w:style w:type="character" w:customStyle="1" w:styleId="nowrap">
    <w:name w:val="nowrap"/>
    <w:basedOn w:val="DefaultParagraphFont"/>
    <w:rsid w:val="00F934C1"/>
  </w:style>
  <w:style w:type="character" w:customStyle="1" w:styleId="ref-vol">
    <w:name w:val="ref-vol"/>
    <w:basedOn w:val="DefaultParagraphFont"/>
    <w:rsid w:val="00F934C1"/>
  </w:style>
  <w:style w:type="numbering" w:customStyle="1" w:styleId="NoList11">
    <w:name w:val="No List11"/>
    <w:next w:val="NoList"/>
    <w:uiPriority w:val="99"/>
    <w:semiHidden/>
    <w:unhideWhenUsed/>
    <w:rsid w:val="00F934C1"/>
  </w:style>
  <w:style w:type="paragraph" w:customStyle="1" w:styleId="Default">
    <w:name w:val="Default"/>
    <w:rsid w:val="00F934C1"/>
    <w:pPr>
      <w:autoSpaceDE w:val="0"/>
      <w:autoSpaceDN w:val="0"/>
      <w:adjustRightInd w:val="0"/>
      <w:spacing w:after="0" w:line="240" w:lineRule="auto"/>
    </w:pPr>
    <w:rPr>
      <w:rFonts w:ascii="Times New Roman" w:hAnsi="Times New Roman" w:cs="Times New Roman"/>
      <w:color w:val="000000"/>
      <w:sz w:val="24"/>
      <w:szCs w:val="24"/>
    </w:rPr>
  </w:style>
  <w:style w:type="character" w:styleId="LineNumber">
    <w:name w:val="line number"/>
    <w:basedOn w:val="DefaultParagraphFont"/>
    <w:uiPriority w:val="99"/>
    <w:semiHidden/>
    <w:unhideWhenUsed/>
    <w:rsid w:val="00F934C1"/>
  </w:style>
  <w:style w:type="paragraph" w:styleId="TableofFigures">
    <w:name w:val="table of figures"/>
    <w:aliases w:val="Table 4.1: Method Validation parameters."/>
    <w:basedOn w:val="Normal"/>
    <w:next w:val="Normal"/>
    <w:autoRedefine/>
    <w:uiPriority w:val="99"/>
    <w:unhideWhenUsed/>
    <w:qFormat/>
    <w:rsid w:val="00F934C1"/>
    <w:pPr>
      <w:tabs>
        <w:tab w:val="right" w:leader="dot" w:pos="8162"/>
      </w:tabs>
      <w:spacing w:line="360" w:lineRule="auto"/>
      <w:ind w:left="1152" w:right="432" w:hanging="1152"/>
      <w:jc w:val="left"/>
    </w:pPr>
  </w:style>
  <w:style w:type="paragraph" w:styleId="Revision">
    <w:name w:val="Revision"/>
    <w:hidden/>
    <w:uiPriority w:val="99"/>
    <w:semiHidden/>
    <w:rsid w:val="00F934C1"/>
    <w:pPr>
      <w:spacing w:after="0" w:line="240" w:lineRule="auto"/>
    </w:pPr>
    <w:rPr>
      <w:rFonts w:ascii="Times New Roman" w:eastAsia="Times New Roman" w:hAnsi="Times New Roman" w:cs="Times New Roman"/>
      <w:sz w:val="24"/>
      <w:szCs w:val="24"/>
    </w:rPr>
  </w:style>
  <w:style w:type="paragraph" w:styleId="Index1">
    <w:name w:val="index 1"/>
    <w:basedOn w:val="Normal"/>
    <w:next w:val="Normal"/>
    <w:autoRedefine/>
    <w:uiPriority w:val="99"/>
    <w:semiHidden/>
    <w:unhideWhenUsed/>
    <w:rsid w:val="00F934C1"/>
    <w:pPr>
      <w:spacing w:line="240" w:lineRule="auto"/>
      <w:ind w:left="240" w:hanging="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tiff"/><Relationship Id="rId18" Type="http://schemas.openxmlformats.org/officeDocument/2006/relationships/image" Target="media/image7.jpeg"/><Relationship Id="rId26" Type="http://schemas.openxmlformats.org/officeDocument/2006/relationships/image" Target="media/image14.wmf"/><Relationship Id="rId39" Type="http://schemas.openxmlformats.org/officeDocument/2006/relationships/hyperlink" Target="https://www.hindawi.com/journals/aess/2016/2013463/fig1/" TargetMode="External"/><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chart" Target="charts/chart2.xml"/><Relationship Id="rId42" Type="http://schemas.openxmlformats.org/officeDocument/2006/relationships/chart" Target="charts/chart7.xm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tiff"/><Relationship Id="rId17" Type="http://schemas.openxmlformats.org/officeDocument/2006/relationships/image" Target="media/image6.jpeg"/><Relationship Id="rId25" Type="http://schemas.openxmlformats.org/officeDocument/2006/relationships/image" Target="media/image13.jpeg"/><Relationship Id="rId33" Type="http://schemas.openxmlformats.org/officeDocument/2006/relationships/chart" Target="charts/chart1.xml"/><Relationship Id="rId38" Type="http://schemas.openxmlformats.org/officeDocument/2006/relationships/header" Target="header5.xml"/><Relationship Id="rId46"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image" Target="media/image5.tiff"/><Relationship Id="rId20" Type="http://schemas.openxmlformats.org/officeDocument/2006/relationships/image" Target="media/image8.jpeg"/><Relationship Id="rId29" Type="http://schemas.openxmlformats.org/officeDocument/2006/relationships/image" Target="media/image17.wmf"/><Relationship Id="rId41"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2.jpeg"/><Relationship Id="rId32" Type="http://schemas.openxmlformats.org/officeDocument/2006/relationships/image" Target="media/image20.wmf"/><Relationship Id="rId37" Type="http://schemas.openxmlformats.org/officeDocument/2006/relationships/header" Target="header4.xml"/><Relationship Id="rId40" Type="http://schemas.openxmlformats.org/officeDocument/2006/relationships/chart" Target="charts/chart5.xml"/><Relationship Id="rId45" Type="http://schemas.openxmlformats.org/officeDocument/2006/relationships/image" Target="media/image21.png"/><Relationship Id="rId5" Type="http://schemas.openxmlformats.org/officeDocument/2006/relationships/settings" Target="settings.xml"/><Relationship Id="rId15" Type="http://schemas.openxmlformats.org/officeDocument/2006/relationships/image" Target="media/image4.tiff"/><Relationship Id="rId23" Type="http://schemas.openxmlformats.org/officeDocument/2006/relationships/image" Target="media/image11.jpeg"/><Relationship Id="rId28" Type="http://schemas.openxmlformats.org/officeDocument/2006/relationships/image" Target="media/image16.wmf"/><Relationship Id="rId36" Type="http://schemas.openxmlformats.org/officeDocument/2006/relationships/chart" Target="charts/chart4.xml"/><Relationship Id="rId10" Type="http://schemas.openxmlformats.org/officeDocument/2006/relationships/header" Target="header1.xml"/><Relationship Id="rId19" Type="http://schemas.openxmlformats.org/officeDocument/2006/relationships/header" Target="header3.xml"/><Relationship Id="rId31" Type="http://schemas.openxmlformats.org/officeDocument/2006/relationships/image" Target="media/image19.wmf"/><Relationship Id="rId44" Type="http://schemas.openxmlformats.org/officeDocument/2006/relationships/chart" Target="charts/chart9.xml"/><Relationship Id="rId4" Type="http://schemas.microsoft.com/office/2007/relationships/stylesWithEffects" Target="stylesWithEffects.xml"/><Relationship Id="rId9" Type="http://schemas.openxmlformats.org/officeDocument/2006/relationships/hyperlink" Target="http://medical-dictionary.thefreedictionary.com/diethylenetriamine+pentaacetic+acid" TargetMode="External"/><Relationship Id="rId14" Type="http://schemas.openxmlformats.org/officeDocument/2006/relationships/image" Target="media/image3.tiff"/><Relationship Id="rId22" Type="http://schemas.openxmlformats.org/officeDocument/2006/relationships/image" Target="media/image10.jpeg"/><Relationship Id="rId27" Type="http://schemas.openxmlformats.org/officeDocument/2006/relationships/image" Target="media/image15.wmf"/><Relationship Id="rId30" Type="http://schemas.openxmlformats.org/officeDocument/2006/relationships/image" Target="media/image18.wmf"/><Relationship Id="rId35" Type="http://schemas.openxmlformats.org/officeDocument/2006/relationships/chart" Target="charts/chart3.xml"/><Relationship Id="rId43" Type="http://schemas.openxmlformats.org/officeDocument/2006/relationships/chart" Target="charts/chart8.xm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ocuments\isotherm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ocuments\isotherm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ocuments\isotherm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ownloads\Book1(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Downloads\Book1(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Downloads\Book1(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DMIN\Documents\%25%20Nutrient%20release%20rate%20and%20graph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DMIN\Documents\%25%20Nutrient%20release%20rate%20and%20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Sheet1!$B$50</c:f>
              <c:strCache>
                <c:ptCount val="1"/>
                <c:pt idx="0">
                  <c:v>Pb</c:v>
                </c:pt>
              </c:strCache>
            </c:strRef>
          </c:tx>
          <c:xVal>
            <c:numRef>
              <c:f>Sheet1!$A$51:$A$61</c:f>
              <c:numCache>
                <c:formatCode>General</c:formatCode>
                <c:ptCount val="11"/>
                <c:pt idx="0">
                  <c:v>2</c:v>
                </c:pt>
                <c:pt idx="1">
                  <c:v>3</c:v>
                </c:pt>
                <c:pt idx="2">
                  <c:v>4</c:v>
                </c:pt>
                <c:pt idx="3">
                  <c:v>5</c:v>
                </c:pt>
                <c:pt idx="4">
                  <c:v>6</c:v>
                </c:pt>
                <c:pt idx="5">
                  <c:v>7</c:v>
                </c:pt>
                <c:pt idx="6">
                  <c:v>8</c:v>
                </c:pt>
                <c:pt idx="7">
                  <c:v>9</c:v>
                </c:pt>
                <c:pt idx="8">
                  <c:v>10</c:v>
                </c:pt>
                <c:pt idx="9">
                  <c:v>11</c:v>
                </c:pt>
                <c:pt idx="10">
                  <c:v>12</c:v>
                </c:pt>
              </c:numCache>
            </c:numRef>
          </c:xVal>
          <c:yVal>
            <c:numRef>
              <c:f>Sheet1!$B$51:$B$61</c:f>
              <c:numCache>
                <c:formatCode>General</c:formatCode>
                <c:ptCount val="11"/>
                <c:pt idx="0">
                  <c:v>20</c:v>
                </c:pt>
                <c:pt idx="1">
                  <c:v>28</c:v>
                </c:pt>
                <c:pt idx="2">
                  <c:v>48</c:v>
                </c:pt>
                <c:pt idx="3">
                  <c:v>48</c:v>
                </c:pt>
                <c:pt idx="4">
                  <c:v>48</c:v>
                </c:pt>
                <c:pt idx="5">
                  <c:v>48</c:v>
                </c:pt>
                <c:pt idx="6">
                  <c:v>48</c:v>
                </c:pt>
                <c:pt idx="7">
                  <c:v>48</c:v>
                </c:pt>
                <c:pt idx="8">
                  <c:v>48</c:v>
                </c:pt>
                <c:pt idx="9">
                  <c:v>48</c:v>
                </c:pt>
                <c:pt idx="10">
                  <c:v>48</c:v>
                </c:pt>
              </c:numCache>
            </c:numRef>
          </c:yVal>
          <c:smooth val="1"/>
          <c:extLst xmlns:c16r2="http://schemas.microsoft.com/office/drawing/2015/06/chart">
            <c:ext xmlns:c16="http://schemas.microsoft.com/office/drawing/2014/chart" uri="{C3380CC4-5D6E-409C-BE32-E72D297353CC}">
              <c16:uniqueId val="{00000000-5AE8-4AF2-A48D-663A073F89FC}"/>
            </c:ext>
          </c:extLst>
        </c:ser>
        <c:ser>
          <c:idx val="1"/>
          <c:order val="1"/>
          <c:tx>
            <c:strRef>
              <c:f>Sheet1!$C$50</c:f>
              <c:strCache>
                <c:ptCount val="1"/>
                <c:pt idx="0">
                  <c:v>Cd</c:v>
                </c:pt>
              </c:strCache>
            </c:strRef>
          </c:tx>
          <c:xVal>
            <c:numRef>
              <c:f>Sheet1!$A$51:$A$61</c:f>
              <c:numCache>
                <c:formatCode>General</c:formatCode>
                <c:ptCount val="11"/>
                <c:pt idx="0">
                  <c:v>2</c:v>
                </c:pt>
                <c:pt idx="1">
                  <c:v>3</c:v>
                </c:pt>
                <c:pt idx="2">
                  <c:v>4</c:v>
                </c:pt>
                <c:pt idx="3">
                  <c:v>5</c:v>
                </c:pt>
                <c:pt idx="4">
                  <c:v>6</c:v>
                </c:pt>
                <c:pt idx="5">
                  <c:v>7</c:v>
                </c:pt>
                <c:pt idx="6">
                  <c:v>8</c:v>
                </c:pt>
                <c:pt idx="7">
                  <c:v>9</c:v>
                </c:pt>
                <c:pt idx="8">
                  <c:v>10</c:v>
                </c:pt>
                <c:pt idx="9">
                  <c:v>11</c:v>
                </c:pt>
                <c:pt idx="10">
                  <c:v>12</c:v>
                </c:pt>
              </c:numCache>
            </c:numRef>
          </c:xVal>
          <c:yVal>
            <c:numRef>
              <c:f>Sheet1!$C$51:$C$61</c:f>
              <c:numCache>
                <c:formatCode>General</c:formatCode>
                <c:ptCount val="11"/>
                <c:pt idx="0">
                  <c:v>18</c:v>
                </c:pt>
                <c:pt idx="1">
                  <c:v>24</c:v>
                </c:pt>
                <c:pt idx="2">
                  <c:v>33</c:v>
                </c:pt>
                <c:pt idx="3">
                  <c:v>43</c:v>
                </c:pt>
                <c:pt idx="4">
                  <c:v>46</c:v>
                </c:pt>
                <c:pt idx="5">
                  <c:v>46</c:v>
                </c:pt>
                <c:pt idx="6">
                  <c:v>46</c:v>
                </c:pt>
                <c:pt idx="7">
                  <c:v>46</c:v>
                </c:pt>
                <c:pt idx="8">
                  <c:v>46</c:v>
                </c:pt>
                <c:pt idx="9">
                  <c:v>46</c:v>
                </c:pt>
                <c:pt idx="10">
                  <c:v>46</c:v>
                </c:pt>
              </c:numCache>
            </c:numRef>
          </c:yVal>
          <c:smooth val="1"/>
          <c:extLst xmlns:c16r2="http://schemas.microsoft.com/office/drawing/2015/06/chart">
            <c:ext xmlns:c16="http://schemas.microsoft.com/office/drawing/2014/chart" uri="{C3380CC4-5D6E-409C-BE32-E72D297353CC}">
              <c16:uniqueId val="{00000001-5AE8-4AF2-A48D-663A073F89FC}"/>
            </c:ext>
          </c:extLst>
        </c:ser>
        <c:dLbls>
          <c:showLegendKey val="0"/>
          <c:showVal val="0"/>
          <c:showCatName val="0"/>
          <c:showSerName val="0"/>
          <c:showPercent val="0"/>
          <c:showBubbleSize val="0"/>
        </c:dLbls>
        <c:axId val="195639168"/>
        <c:axId val="195641344"/>
      </c:scatterChart>
      <c:valAx>
        <c:axId val="195639168"/>
        <c:scaling>
          <c:orientation val="minMax"/>
        </c:scaling>
        <c:delete val="0"/>
        <c:axPos val="b"/>
        <c:title>
          <c:tx>
            <c:rich>
              <a:bodyPr/>
              <a:lstStyle/>
              <a:p>
                <a:pPr>
                  <a:defRPr/>
                </a:pPr>
                <a:r>
                  <a:rPr lang="en-US"/>
                  <a:t>pH</a:t>
                </a:r>
              </a:p>
            </c:rich>
          </c:tx>
          <c:overlay val="0"/>
        </c:title>
        <c:numFmt formatCode="General" sourceLinked="1"/>
        <c:majorTickMark val="none"/>
        <c:minorTickMark val="none"/>
        <c:tickLblPos val="nextTo"/>
        <c:crossAx val="195641344"/>
        <c:crosses val="autoZero"/>
        <c:crossBetween val="midCat"/>
      </c:valAx>
      <c:valAx>
        <c:axId val="195641344"/>
        <c:scaling>
          <c:orientation val="minMax"/>
        </c:scaling>
        <c:delete val="0"/>
        <c:axPos val="l"/>
        <c:title>
          <c:tx>
            <c:rich>
              <a:bodyPr rot="-5400000" vert="horz"/>
              <a:lstStyle/>
              <a:p>
                <a:pPr>
                  <a:defRPr/>
                </a:pPr>
                <a:r>
                  <a:rPr lang="en-US"/>
                  <a:t>q</a:t>
                </a:r>
                <a:r>
                  <a:rPr lang="en-US" baseline="-25000"/>
                  <a:t>e</a:t>
                </a:r>
                <a:r>
                  <a:rPr lang="en-US" baseline="0"/>
                  <a:t> (mg/g)</a:t>
                </a:r>
                <a:endParaRPr lang="en-US"/>
              </a:p>
            </c:rich>
          </c:tx>
          <c:overlay val="0"/>
        </c:title>
        <c:numFmt formatCode="General" sourceLinked="1"/>
        <c:majorTickMark val="none"/>
        <c:minorTickMark val="none"/>
        <c:tickLblPos val="nextTo"/>
        <c:crossAx val="195639168"/>
        <c:crosses val="autoZero"/>
        <c:crossBetween val="midCat"/>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Sheet2!$B$50</c:f>
              <c:strCache>
                <c:ptCount val="1"/>
                <c:pt idx="0">
                  <c:v>cd</c:v>
                </c:pt>
              </c:strCache>
            </c:strRef>
          </c:tx>
          <c:xVal>
            <c:numRef>
              <c:f>Sheet2!$A$51:$A$62</c:f>
              <c:numCache>
                <c:formatCode>General</c:formatCode>
                <c:ptCount val="12"/>
                <c:pt idx="0">
                  <c:v>2.5</c:v>
                </c:pt>
                <c:pt idx="1">
                  <c:v>5</c:v>
                </c:pt>
                <c:pt idx="2">
                  <c:v>7.5</c:v>
                </c:pt>
                <c:pt idx="3">
                  <c:v>10</c:v>
                </c:pt>
                <c:pt idx="4">
                  <c:v>12.5</c:v>
                </c:pt>
                <c:pt idx="5">
                  <c:v>15</c:v>
                </c:pt>
                <c:pt idx="6">
                  <c:v>17.5</c:v>
                </c:pt>
                <c:pt idx="7">
                  <c:v>20</c:v>
                </c:pt>
                <c:pt idx="8">
                  <c:v>22.5</c:v>
                </c:pt>
                <c:pt idx="9">
                  <c:v>25</c:v>
                </c:pt>
                <c:pt idx="10">
                  <c:v>27.5</c:v>
                </c:pt>
                <c:pt idx="11">
                  <c:v>30</c:v>
                </c:pt>
              </c:numCache>
            </c:numRef>
          </c:xVal>
          <c:yVal>
            <c:numRef>
              <c:f>Sheet2!$B$51:$B$62</c:f>
              <c:numCache>
                <c:formatCode>General</c:formatCode>
                <c:ptCount val="12"/>
                <c:pt idx="0">
                  <c:v>9</c:v>
                </c:pt>
                <c:pt idx="1">
                  <c:v>38</c:v>
                </c:pt>
                <c:pt idx="2">
                  <c:v>71</c:v>
                </c:pt>
                <c:pt idx="3">
                  <c:v>69</c:v>
                </c:pt>
                <c:pt idx="4">
                  <c:v>69</c:v>
                </c:pt>
                <c:pt idx="5">
                  <c:v>69</c:v>
                </c:pt>
                <c:pt idx="6">
                  <c:v>69</c:v>
                </c:pt>
                <c:pt idx="7">
                  <c:v>69</c:v>
                </c:pt>
                <c:pt idx="8">
                  <c:v>69</c:v>
                </c:pt>
                <c:pt idx="9">
                  <c:v>69</c:v>
                </c:pt>
                <c:pt idx="10">
                  <c:v>69</c:v>
                </c:pt>
                <c:pt idx="11">
                  <c:v>69</c:v>
                </c:pt>
              </c:numCache>
            </c:numRef>
          </c:yVal>
          <c:smooth val="1"/>
          <c:extLst xmlns:c16r2="http://schemas.microsoft.com/office/drawing/2015/06/chart">
            <c:ext xmlns:c16="http://schemas.microsoft.com/office/drawing/2014/chart" uri="{C3380CC4-5D6E-409C-BE32-E72D297353CC}">
              <c16:uniqueId val="{00000000-2399-4148-BDDF-FEF44678463F}"/>
            </c:ext>
          </c:extLst>
        </c:ser>
        <c:ser>
          <c:idx val="1"/>
          <c:order val="1"/>
          <c:tx>
            <c:strRef>
              <c:f>Sheet2!$C$50</c:f>
              <c:strCache>
                <c:ptCount val="1"/>
                <c:pt idx="0">
                  <c:v>pb</c:v>
                </c:pt>
              </c:strCache>
            </c:strRef>
          </c:tx>
          <c:xVal>
            <c:numRef>
              <c:f>Sheet2!$A$51:$A$62</c:f>
              <c:numCache>
                <c:formatCode>General</c:formatCode>
                <c:ptCount val="12"/>
                <c:pt idx="0">
                  <c:v>2.5</c:v>
                </c:pt>
                <c:pt idx="1">
                  <c:v>5</c:v>
                </c:pt>
                <c:pt idx="2">
                  <c:v>7.5</c:v>
                </c:pt>
                <c:pt idx="3">
                  <c:v>10</c:v>
                </c:pt>
                <c:pt idx="4">
                  <c:v>12.5</c:v>
                </c:pt>
                <c:pt idx="5">
                  <c:v>15</c:v>
                </c:pt>
                <c:pt idx="6">
                  <c:v>17.5</c:v>
                </c:pt>
                <c:pt idx="7">
                  <c:v>20</c:v>
                </c:pt>
                <c:pt idx="8">
                  <c:v>22.5</c:v>
                </c:pt>
                <c:pt idx="9">
                  <c:v>25</c:v>
                </c:pt>
                <c:pt idx="10">
                  <c:v>27.5</c:v>
                </c:pt>
                <c:pt idx="11">
                  <c:v>30</c:v>
                </c:pt>
              </c:numCache>
            </c:numRef>
          </c:xVal>
          <c:yVal>
            <c:numRef>
              <c:f>Sheet2!$C$51:$C$62</c:f>
              <c:numCache>
                <c:formatCode>General</c:formatCode>
                <c:ptCount val="12"/>
                <c:pt idx="0">
                  <c:v>10</c:v>
                </c:pt>
                <c:pt idx="1">
                  <c:v>53</c:v>
                </c:pt>
                <c:pt idx="2">
                  <c:v>81</c:v>
                </c:pt>
                <c:pt idx="3">
                  <c:v>79</c:v>
                </c:pt>
                <c:pt idx="4">
                  <c:v>79</c:v>
                </c:pt>
                <c:pt idx="5">
                  <c:v>79</c:v>
                </c:pt>
                <c:pt idx="6">
                  <c:v>79</c:v>
                </c:pt>
                <c:pt idx="7">
                  <c:v>79</c:v>
                </c:pt>
                <c:pt idx="8">
                  <c:v>79</c:v>
                </c:pt>
                <c:pt idx="9">
                  <c:v>79</c:v>
                </c:pt>
                <c:pt idx="10">
                  <c:v>79</c:v>
                </c:pt>
                <c:pt idx="11">
                  <c:v>79</c:v>
                </c:pt>
              </c:numCache>
            </c:numRef>
          </c:yVal>
          <c:smooth val="1"/>
          <c:extLst xmlns:c16r2="http://schemas.microsoft.com/office/drawing/2015/06/chart">
            <c:ext xmlns:c16="http://schemas.microsoft.com/office/drawing/2014/chart" uri="{C3380CC4-5D6E-409C-BE32-E72D297353CC}">
              <c16:uniqueId val="{00000001-2399-4148-BDDF-FEF44678463F}"/>
            </c:ext>
          </c:extLst>
        </c:ser>
        <c:dLbls>
          <c:showLegendKey val="0"/>
          <c:showVal val="0"/>
          <c:showCatName val="0"/>
          <c:showSerName val="0"/>
          <c:showPercent val="0"/>
          <c:showBubbleSize val="0"/>
        </c:dLbls>
        <c:axId val="195671552"/>
        <c:axId val="195673472"/>
      </c:scatterChart>
      <c:valAx>
        <c:axId val="195671552"/>
        <c:scaling>
          <c:orientation val="minMax"/>
        </c:scaling>
        <c:delete val="0"/>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Adsorbent dosage (mg/g)</a:t>
                </a: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5673472"/>
        <c:crosses val="autoZero"/>
        <c:crossBetween val="midCat"/>
      </c:valAx>
      <c:valAx>
        <c:axId val="195673472"/>
        <c:scaling>
          <c:orientation val="minMax"/>
        </c:scaling>
        <c:delete val="0"/>
        <c:axPos val="l"/>
        <c:title>
          <c:tx>
            <c:rich>
              <a:bodyPr rot="-5400000" vert="horz"/>
              <a:lstStyle/>
              <a:p>
                <a:pPr>
                  <a:defRPr>
                    <a:latin typeface="Times New Roman" pitchFamily="18" charset="0"/>
                    <a:cs typeface="Times New Roman" pitchFamily="18" charset="0"/>
                  </a:defRPr>
                </a:pPr>
                <a:r>
                  <a:rPr lang="en-US">
                    <a:latin typeface="Times New Roman" pitchFamily="18" charset="0"/>
                    <a:cs typeface="Times New Roman" pitchFamily="18" charset="0"/>
                  </a:rPr>
                  <a:t>q</a:t>
                </a:r>
                <a:r>
                  <a:rPr lang="en-US" baseline="-25000">
                    <a:latin typeface="Times New Roman" pitchFamily="18" charset="0"/>
                    <a:cs typeface="Times New Roman" pitchFamily="18" charset="0"/>
                  </a:rPr>
                  <a:t>e</a:t>
                </a:r>
                <a:r>
                  <a:rPr lang="en-US" baseline="0">
                    <a:latin typeface="Times New Roman" pitchFamily="18" charset="0"/>
                    <a:cs typeface="Times New Roman" pitchFamily="18" charset="0"/>
                  </a:rPr>
                  <a:t> (mg/l)</a:t>
                </a:r>
                <a:endParaRPr lang="en-US">
                  <a:latin typeface="Times New Roman" pitchFamily="18" charset="0"/>
                  <a:cs typeface="Times New Roman" pitchFamily="18" charset="0"/>
                </a:endParaRP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5671552"/>
        <c:crosses val="autoZero"/>
        <c:crossBetween val="midCat"/>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Sheet1!$B$80</c:f>
              <c:strCache>
                <c:ptCount val="1"/>
                <c:pt idx="0">
                  <c:v>Pb</c:v>
                </c:pt>
              </c:strCache>
            </c:strRef>
          </c:tx>
          <c:xVal>
            <c:numRef>
              <c:f>Sheet1!$A$81:$A$93</c:f>
              <c:numCache>
                <c:formatCode>General</c:formatCode>
                <c:ptCount val="13"/>
                <c:pt idx="0">
                  <c:v>5</c:v>
                </c:pt>
                <c:pt idx="1">
                  <c:v>10</c:v>
                </c:pt>
                <c:pt idx="2">
                  <c:v>15</c:v>
                </c:pt>
                <c:pt idx="3">
                  <c:v>20</c:v>
                </c:pt>
                <c:pt idx="4">
                  <c:v>25</c:v>
                </c:pt>
                <c:pt idx="5">
                  <c:v>30</c:v>
                </c:pt>
                <c:pt idx="6">
                  <c:v>40</c:v>
                </c:pt>
                <c:pt idx="7">
                  <c:v>50</c:v>
                </c:pt>
                <c:pt idx="8">
                  <c:v>60</c:v>
                </c:pt>
                <c:pt idx="9">
                  <c:v>70</c:v>
                </c:pt>
                <c:pt idx="10">
                  <c:v>80</c:v>
                </c:pt>
                <c:pt idx="11">
                  <c:v>90</c:v>
                </c:pt>
                <c:pt idx="12">
                  <c:v>100</c:v>
                </c:pt>
              </c:numCache>
            </c:numRef>
          </c:xVal>
          <c:yVal>
            <c:numRef>
              <c:f>Sheet1!$B$81:$B$93</c:f>
              <c:numCache>
                <c:formatCode>General</c:formatCode>
                <c:ptCount val="13"/>
                <c:pt idx="0">
                  <c:v>50</c:v>
                </c:pt>
                <c:pt idx="1">
                  <c:v>49.5</c:v>
                </c:pt>
                <c:pt idx="2">
                  <c:v>49</c:v>
                </c:pt>
                <c:pt idx="3">
                  <c:v>46</c:v>
                </c:pt>
                <c:pt idx="4">
                  <c:v>44</c:v>
                </c:pt>
                <c:pt idx="5">
                  <c:v>29.5</c:v>
                </c:pt>
                <c:pt idx="6">
                  <c:v>23.5</c:v>
                </c:pt>
                <c:pt idx="7">
                  <c:v>18</c:v>
                </c:pt>
                <c:pt idx="8">
                  <c:v>12</c:v>
                </c:pt>
                <c:pt idx="9">
                  <c:v>9</c:v>
                </c:pt>
                <c:pt idx="10">
                  <c:v>9</c:v>
                </c:pt>
                <c:pt idx="11">
                  <c:v>9</c:v>
                </c:pt>
                <c:pt idx="12">
                  <c:v>9</c:v>
                </c:pt>
              </c:numCache>
            </c:numRef>
          </c:yVal>
          <c:smooth val="1"/>
          <c:extLst xmlns:c16r2="http://schemas.microsoft.com/office/drawing/2015/06/chart">
            <c:ext xmlns:c16="http://schemas.microsoft.com/office/drawing/2014/chart" uri="{C3380CC4-5D6E-409C-BE32-E72D297353CC}">
              <c16:uniqueId val="{00000000-40A8-4195-8E3B-D55FC087260F}"/>
            </c:ext>
          </c:extLst>
        </c:ser>
        <c:ser>
          <c:idx val="1"/>
          <c:order val="1"/>
          <c:tx>
            <c:strRef>
              <c:f>Sheet1!$C$80</c:f>
              <c:strCache>
                <c:ptCount val="1"/>
                <c:pt idx="0">
                  <c:v>Cd</c:v>
                </c:pt>
              </c:strCache>
            </c:strRef>
          </c:tx>
          <c:xVal>
            <c:numRef>
              <c:f>Sheet1!$A$81:$A$93</c:f>
              <c:numCache>
                <c:formatCode>General</c:formatCode>
                <c:ptCount val="13"/>
                <c:pt idx="0">
                  <c:v>5</c:v>
                </c:pt>
                <c:pt idx="1">
                  <c:v>10</c:v>
                </c:pt>
                <c:pt idx="2">
                  <c:v>15</c:v>
                </c:pt>
                <c:pt idx="3">
                  <c:v>20</c:v>
                </c:pt>
                <c:pt idx="4">
                  <c:v>25</c:v>
                </c:pt>
                <c:pt idx="5">
                  <c:v>30</c:v>
                </c:pt>
                <c:pt idx="6">
                  <c:v>40</c:v>
                </c:pt>
                <c:pt idx="7">
                  <c:v>50</c:v>
                </c:pt>
                <c:pt idx="8">
                  <c:v>60</c:v>
                </c:pt>
                <c:pt idx="9">
                  <c:v>70</c:v>
                </c:pt>
                <c:pt idx="10">
                  <c:v>80</c:v>
                </c:pt>
                <c:pt idx="11">
                  <c:v>90</c:v>
                </c:pt>
                <c:pt idx="12">
                  <c:v>100</c:v>
                </c:pt>
              </c:numCache>
            </c:numRef>
          </c:xVal>
          <c:yVal>
            <c:numRef>
              <c:f>Sheet1!$C$81:$C$93</c:f>
              <c:numCache>
                <c:formatCode>General</c:formatCode>
                <c:ptCount val="13"/>
                <c:pt idx="0">
                  <c:v>49.5</c:v>
                </c:pt>
                <c:pt idx="1">
                  <c:v>49</c:v>
                </c:pt>
                <c:pt idx="2">
                  <c:v>48</c:v>
                </c:pt>
                <c:pt idx="3">
                  <c:v>45</c:v>
                </c:pt>
                <c:pt idx="4">
                  <c:v>43</c:v>
                </c:pt>
                <c:pt idx="5">
                  <c:v>29</c:v>
                </c:pt>
                <c:pt idx="6">
                  <c:v>22</c:v>
                </c:pt>
                <c:pt idx="7">
                  <c:v>17</c:v>
                </c:pt>
                <c:pt idx="8">
                  <c:v>10</c:v>
                </c:pt>
                <c:pt idx="9">
                  <c:v>7</c:v>
                </c:pt>
                <c:pt idx="10">
                  <c:v>7</c:v>
                </c:pt>
                <c:pt idx="11">
                  <c:v>7</c:v>
                </c:pt>
                <c:pt idx="12">
                  <c:v>7</c:v>
                </c:pt>
              </c:numCache>
            </c:numRef>
          </c:yVal>
          <c:smooth val="1"/>
          <c:extLst xmlns:c16r2="http://schemas.microsoft.com/office/drawing/2015/06/chart">
            <c:ext xmlns:c16="http://schemas.microsoft.com/office/drawing/2014/chart" uri="{C3380CC4-5D6E-409C-BE32-E72D297353CC}">
              <c16:uniqueId val="{00000001-40A8-4195-8E3B-D55FC087260F}"/>
            </c:ext>
          </c:extLst>
        </c:ser>
        <c:dLbls>
          <c:showLegendKey val="0"/>
          <c:showVal val="0"/>
          <c:showCatName val="0"/>
          <c:showSerName val="0"/>
          <c:showPercent val="0"/>
          <c:showBubbleSize val="0"/>
        </c:dLbls>
        <c:axId val="196289664"/>
        <c:axId val="196291584"/>
      </c:scatterChart>
      <c:valAx>
        <c:axId val="196289664"/>
        <c:scaling>
          <c:orientation val="minMax"/>
        </c:scaling>
        <c:delete val="0"/>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Initial</a:t>
                </a:r>
                <a:r>
                  <a:rPr lang="en-US" baseline="0">
                    <a:latin typeface="Times New Roman" pitchFamily="18" charset="0"/>
                    <a:cs typeface="Times New Roman" pitchFamily="18" charset="0"/>
                  </a:rPr>
                  <a:t> metal concentration (mg/l)</a:t>
                </a:r>
                <a:endParaRPr lang="en-US">
                  <a:latin typeface="Times New Roman" pitchFamily="18" charset="0"/>
                  <a:cs typeface="Times New Roman" pitchFamily="18" charset="0"/>
                </a:endParaRPr>
              </a:p>
            </c:rich>
          </c:tx>
          <c:layout>
            <c:manualLayout>
              <c:xMode val="edge"/>
              <c:yMode val="edge"/>
              <c:x val="0.48513648293964812"/>
              <c:y val="0.76718540390784484"/>
            </c:manualLayout>
          </c:layout>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6291584"/>
        <c:crosses val="autoZero"/>
        <c:crossBetween val="midCat"/>
      </c:valAx>
      <c:valAx>
        <c:axId val="196291584"/>
        <c:scaling>
          <c:orientation val="minMax"/>
        </c:scaling>
        <c:delete val="0"/>
        <c:axPos val="l"/>
        <c:title>
          <c:tx>
            <c:rich>
              <a:bodyPr rot="-5400000" vert="horz"/>
              <a:lstStyle/>
              <a:p>
                <a:pPr>
                  <a:defRPr>
                    <a:latin typeface="Times New Roman" pitchFamily="18" charset="0"/>
                    <a:cs typeface="Times New Roman" pitchFamily="18" charset="0"/>
                  </a:defRPr>
                </a:pPr>
                <a:r>
                  <a:rPr lang="en-US">
                    <a:latin typeface="Times New Roman" pitchFamily="18" charset="0"/>
                    <a:cs typeface="Times New Roman" pitchFamily="18" charset="0"/>
                  </a:rPr>
                  <a:t>q</a:t>
                </a:r>
                <a:r>
                  <a:rPr lang="en-US" baseline="-25000">
                    <a:latin typeface="Times New Roman" pitchFamily="18" charset="0"/>
                    <a:cs typeface="Times New Roman" pitchFamily="18" charset="0"/>
                  </a:rPr>
                  <a:t>e</a:t>
                </a:r>
                <a:r>
                  <a:rPr lang="en-US" baseline="0">
                    <a:latin typeface="Times New Roman" pitchFamily="18" charset="0"/>
                    <a:cs typeface="Times New Roman" pitchFamily="18" charset="0"/>
                  </a:rPr>
                  <a:t> (mg/g)</a:t>
                </a:r>
                <a:endParaRPr lang="en-US">
                  <a:latin typeface="Times New Roman" pitchFamily="18" charset="0"/>
                  <a:cs typeface="Times New Roman" pitchFamily="18" charset="0"/>
                </a:endParaRP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6289664"/>
        <c:crosses val="autoZero"/>
        <c:crossBetween val="midCat"/>
      </c:valAx>
    </c:plotArea>
    <c:legend>
      <c:legendPos val="b"/>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Sheet1!$B$3</c:f>
              <c:strCache>
                <c:ptCount val="1"/>
                <c:pt idx="0">
                  <c:v>Pb</c:v>
                </c:pt>
              </c:strCache>
            </c:strRef>
          </c:tx>
          <c:xVal>
            <c:numRef>
              <c:f>Sheet1!$A$4:$A$16</c:f>
              <c:numCache>
                <c:formatCode>General</c:formatCode>
                <c:ptCount val="13"/>
                <c:pt idx="0">
                  <c:v>0</c:v>
                </c:pt>
                <c:pt idx="1">
                  <c:v>15</c:v>
                </c:pt>
                <c:pt idx="2">
                  <c:v>30</c:v>
                </c:pt>
                <c:pt idx="3">
                  <c:v>45</c:v>
                </c:pt>
                <c:pt idx="4">
                  <c:v>60</c:v>
                </c:pt>
                <c:pt idx="5">
                  <c:v>75</c:v>
                </c:pt>
                <c:pt idx="6">
                  <c:v>90</c:v>
                </c:pt>
                <c:pt idx="7">
                  <c:v>105</c:v>
                </c:pt>
                <c:pt idx="8">
                  <c:v>120</c:v>
                </c:pt>
                <c:pt idx="9">
                  <c:v>150</c:v>
                </c:pt>
                <c:pt idx="10">
                  <c:v>180</c:v>
                </c:pt>
                <c:pt idx="11">
                  <c:v>210</c:v>
                </c:pt>
                <c:pt idx="12">
                  <c:v>240</c:v>
                </c:pt>
              </c:numCache>
            </c:numRef>
          </c:xVal>
          <c:yVal>
            <c:numRef>
              <c:f>Sheet1!$B$4:$B$16</c:f>
              <c:numCache>
                <c:formatCode>General</c:formatCode>
                <c:ptCount val="13"/>
                <c:pt idx="0">
                  <c:v>0</c:v>
                </c:pt>
                <c:pt idx="1">
                  <c:v>9</c:v>
                </c:pt>
                <c:pt idx="2">
                  <c:v>11</c:v>
                </c:pt>
                <c:pt idx="3">
                  <c:v>19</c:v>
                </c:pt>
                <c:pt idx="4">
                  <c:v>26</c:v>
                </c:pt>
                <c:pt idx="5">
                  <c:v>34</c:v>
                </c:pt>
                <c:pt idx="6">
                  <c:v>44</c:v>
                </c:pt>
                <c:pt idx="7">
                  <c:v>55</c:v>
                </c:pt>
                <c:pt idx="8">
                  <c:v>65</c:v>
                </c:pt>
                <c:pt idx="9">
                  <c:v>65</c:v>
                </c:pt>
                <c:pt idx="10">
                  <c:v>65</c:v>
                </c:pt>
                <c:pt idx="11">
                  <c:v>65</c:v>
                </c:pt>
                <c:pt idx="12">
                  <c:v>65</c:v>
                </c:pt>
              </c:numCache>
            </c:numRef>
          </c:yVal>
          <c:smooth val="1"/>
          <c:extLst xmlns:c16r2="http://schemas.microsoft.com/office/drawing/2015/06/chart">
            <c:ext xmlns:c16="http://schemas.microsoft.com/office/drawing/2014/chart" uri="{C3380CC4-5D6E-409C-BE32-E72D297353CC}">
              <c16:uniqueId val="{00000000-BABF-43CE-83A2-BA12D1651DD7}"/>
            </c:ext>
          </c:extLst>
        </c:ser>
        <c:ser>
          <c:idx val="1"/>
          <c:order val="1"/>
          <c:tx>
            <c:strRef>
              <c:f>Sheet1!$C$3</c:f>
              <c:strCache>
                <c:ptCount val="1"/>
                <c:pt idx="0">
                  <c:v>Cd</c:v>
                </c:pt>
              </c:strCache>
            </c:strRef>
          </c:tx>
          <c:xVal>
            <c:numRef>
              <c:f>Sheet1!$A$4:$A$16</c:f>
              <c:numCache>
                <c:formatCode>General</c:formatCode>
                <c:ptCount val="13"/>
                <c:pt idx="0">
                  <c:v>0</c:v>
                </c:pt>
                <c:pt idx="1">
                  <c:v>15</c:v>
                </c:pt>
                <c:pt idx="2">
                  <c:v>30</c:v>
                </c:pt>
                <c:pt idx="3">
                  <c:v>45</c:v>
                </c:pt>
                <c:pt idx="4">
                  <c:v>60</c:v>
                </c:pt>
                <c:pt idx="5">
                  <c:v>75</c:v>
                </c:pt>
                <c:pt idx="6">
                  <c:v>90</c:v>
                </c:pt>
                <c:pt idx="7">
                  <c:v>105</c:v>
                </c:pt>
                <c:pt idx="8">
                  <c:v>120</c:v>
                </c:pt>
                <c:pt idx="9">
                  <c:v>150</c:v>
                </c:pt>
                <c:pt idx="10">
                  <c:v>180</c:v>
                </c:pt>
                <c:pt idx="11">
                  <c:v>210</c:v>
                </c:pt>
                <c:pt idx="12">
                  <c:v>240</c:v>
                </c:pt>
              </c:numCache>
            </c:numRef>
          </c:xVal>
          <c:yVal>
            <c:numRef>
              <c:f>Sheet1!$C$4:$C$16</c:f>
              <c:numCache>
                <c:formatCode>General</c:formatCode>
                <c:ptCount val="13"/>
                <c:pt idx="0">
                  <c:v>0</c:v>
                </c:pt>
                <c:pt idx="1">
                  <c:v>7</c:v>
                </c:pt>
                <c:pt idx="2">
                  <c:v>8</c:v>
                </c:pt>
                <c:pt idx="3">
                  <c:v>17</c:v>
                </c:pt>
                <c:pt idx="4">
                  <c:v>23</c:v>
                </c:pt>
                <c:pt idx="5">
                  <c:v>27</c:v>
                </c:pt>
                <c:pt idx="6">
                  <c:v>33</c:v>
                </c:pt>
                <c:pt idx="7">
                  <c:v>49</c:v>
                </c:pt>
                <c:pt idx="8">
                  <c:v>63</c:v>
                </c:pt>
                <c:pt idx="9">
                  <c:v>63</c:v>
                </c:pt>
                <c:pt idx="10">
                  <c:v>63</c:v>
                </c:pt>
                <c:pt idx="11">
                  <c:v>63</c:v>
                </c:pt>
                <c:pt idx="12">
                  <c:v>63</c:v>
                </c:pt>
              </c:numCache>
            </c:numRef>
          </c:yVal>
          <c:smooth val="1"/>
          <c:extLst xmlns:c16r2="http://schemas.microsoft.com/office/drawing/2015/06/chart">
            <c:ext xmlns:c16="http://schemas.microsoft.com/office/drawing/2014/chart" uri="{C3380CC4-5D6E-409C-BE32-E72D297353CC}">
              <c16:uniqueId val="{00000001-BABF-43CE-83A2-BA12D1651DD7}"/>
            </c:ext>
          </c:extLst>
        </c:ser>
        <c:dLbls>
          <c:showLegendKey val="0"/>
          <c:showVal val="0"/>
          <c:showCatName val="0"/>
          <c:showSerName val="0"/>
          <c:showPercent val="0"/>
          <c:showBubbleSize val="0"/>
        </c:dLbls>
        <c:axId val="196330240"/>
        <c:axId val="196332160"/>
      </c:scatterChart>
      <c:valAx>
        <c:axId val="196330240"/>
        <c:scaling>
          <c:orientation val="minMax"/>
        </c:scaling>
        <c:delete val="0"/>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Contact time (minutes)</a:t>
                </a:r>
              </a:p>
            </c:rich>
          </c:tx>
          <c:layout>
            <c:manualLayout>
              <c:xMode val="edge"/>
              <c:yMode val="edge"/>
              <c:x val="0.48513648293964812"/>
              <c:y val="0.78107429279673379"/>
            </c:manualLayout>
          </c:layout>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6332160"/>
        <c:crosses val="autoZero"/>
        <c:crossBetween val="midCat"/>
      </c:valAx>
      <c:valAx>
        <c:axId val="196332160"/>
        <c:scaling>
          <c:orientation val="minMax"/>
        </c:scaling>
        <c:delete val="0"/>
        <c:axPos val="l"/>
        <c:title>
          <c:tx>
            <c:rich>
              <a:bodyPr rot="-5400000" vert="horz"/>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q</a:t>
                </a:r>
                <a:r>
                  <a:rPr lang="en-US" sz="1000" baseline="-25000">
                    <a:latin typeface="Times New Roman" pitchFamily="18" charset="0"/>
                    <a:cs typeface="Times New Roman" pitchFamily="18" charset="0"/>
                  </a:rPr>
                  <a:t>e </a:t>
                </a:r>
                <a:r>
                  <a:rPr lang="en-US" sz="1000" baseline="0">
                    <a:latin typeface="Times New Roman" pitchFamily="18" charset="0"/>
                    <a:cs typeface="Times New Roman" pitchFamily="18" charset="0"/>
                  </a:rPr>
                  <a:t>mg/g</a:t>
                </a:r>
                <a:endParaRPr lang="en-US" sz="1000">
                  <a:latin typeface="Times New Roman" pitchFamily="18" charset="0"/>
                  <a:cs typeface="Times New Roman" pitchFamily="18" charset="0"/>
                </a:endParaRP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6330240"/>
        <c:crosses val="autoZero"/>
        <c:crossBetween val="midCat"/>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Sheet2!$B$150</c:f>
              <c:strCache>
                <c:ptCount val="1"/>
                <c:pt idx="0">
                  <c:v>Bone nHA</c:v>
                </c:pt>
              </c:strCache>
            </c:strRef>
          </c:tx>
          <c:xVal>
            <c:numRef>
              <c:f>Sheet2!$A$151:$A$158</c:f>
              <c:numCache>
                <c:formatCode>General</c:formatCode>
                <c:ptCount val="8"/>
                <c:pt idx="0">
                  <c:v>5</c:v>
                </c:pt>
                <c:pt idx="1">
                  <c:v>10</c:v>
                </c:pt>
                <c:pt idx="2">
                  <c:v>15</c:v>
                </c:pt>
                <c:pt idx="3">
                  <c:v>20</c:v>
                </c:pt>
                <c:pt idx="4">
                  <c:v>25</c:v>
                </c:pt>
                <c:pt idx="5">
                  <c:v>30</c:v>
                </c:pt>
                <c:pt idx="6">
                  <c:v>35</c:v>
                </c:pt>
                <c:pt idx="7">
                  <c:v>40</c:v>
                </c:pt>
              </c:numCache>
            </c:numRef>
          </c:xVal>
          <c:yVal>
            <c:numRef>
              <c:f>Sheet2!$B$151:$B$158</c:f>
              <c:numCache>
                <c:formatCode>General</c:formatCode>
                <c:ptCount val="8"/>
                <c:pt idx="0">
                  <c:v>47.9</c:v>
                </c:pt>
                <c:pt idx="1">
                  <c:v>48.57</c:v>
                </c:pt>
                <c:pt idx="2">
                  <c:v>50.3</c:v>
                </c:pt>
                <c:pt idx="3">
                  <c:v>52.5</c:v>
                </c:pt>
                <c:pt idx="4">
                  <c:v>52.7</c:v>
                </c:pt>
                <c:pt idx="5">
                  <c:v>54.4</c:v>
                </c:pt>
                <c:pt idx="6">
                  <c:v>55.6</c:v>
                </c:pt>
                <c:pt idx="7">
                  <c:v>55.5</c:v>
                </c:pt>
              </c:numCache>
            </c:numRef>
          </c:yVal>
          <c:smooth val="0"/>
          <c:extLst xmlns:c16r2="http://schemas.microsoft.com/office/drawing/2015/06/chart">
            <c:ext xmlns:c16="http://schemas.microsoft.com/office/drawing/2014/chart" uri="{C3380CC4-5D6E-409C-BE32-E72D297353CC}">
              <c16:uniqueId val="{00000000-2FE2-47ED-9CD5-507CAFBF985A}"/>
            </c:ext>
          </c:extLst>
        </c:ser>
        <c:ser>
          <c:idx val="1"/>
          <c:order val="1"/>
          <c:tx>
            <c:strRef>
              <c:f>Sheet2!$C$150</c:f>
              <c:strCache>
                <c:ptCount val="1"/>
                <c:pt idx="0">
                  <c:v>Bone nHA+ DAP</c:v>
                </c:pt>
              </c:strCache>
            </c:strRef>
          </c:tx>
          <c:xVal>
            <c:numRef>
              <c:f>Sheet2!$A$151:$A$158</c:f>
              <c:numCache>
                <c:formatCode>General</c:formatCode>
                <c:ptCount val="8"/>
                <c:pt idx="0">
                  <c:v>5</c:v>
                </c:pt>
                <c:pt idx="1">
                  <c:v>10</c:v>
                </c:pt>
                <c:pt idx="2">
                  <c:v>15</c:v>
                </c:pt>
                <c:pt idx="3">
                  <c:v>20</c:v>
                </c:pt>
                <c:pt idx="4">
                  <c:v>25</c:v>
                </c:pt>
                <c:pt idx="5">
                  <c:v>30</c:v>
                </c:pt>
                <c:pt idx="6">
                  <c:v>35</c:v>
                </c:pt>
                <c:pt idx="7">
                  <c:v>40</c:v>
                </c:pt>
              </c:numCache>
            </c:numRef>
          </c:xVal>
          <c:yVal>
            <c:numRef>
              <c:f>Sheet2!$C$151:$C$158</c:f>
              <c:numCache>
                <c:formatCode>General</c:formatCode>
                <c:ptCount val="8"/>
                <c:pt idx="0">
                  <c:v>50.67</c:v>
                </c:pt>
                <c:pt idx="1">
                  <c:v>51.52</c:v>
                </c:pt>
                <c:pt idx="2">
                  <c:v>53.91</c:v>
                </c:pt>
                <c:pt idx="3">
                  <c:v>55.13</c:v>
                </c:pt>
                <c:pt idx="4">
                  <c:v>55.84</c:v>
                </c:pt>
                <c:pt idx="5">
                  <c:v>57.47</c:v>
                </c:pt>
                <c:pt idx="6">
                  <c:v>58.56</c:v>
                </c:pt>
                <c:pt idx="7">
                  <c:v>56.28</c:v>
                </c:pt>
              </c:numCache>
            </c:numRef>
          </c:yVal>
          <c:smooth val="0"/>
          <c:extLst xmlns:c16r2="http://schemas.microsoft.com/office/drawing/2015/06/chart">
            <c:ext xmlns:c16="http://schemas.microsoft.com/office/drawing/2014/chart" uri="{C3380CC4-5D6E-409C-BE32-E72D297353CC}">
              <c16:uniqueId val="{00000001-2FE2-47ED-9CD5-507CAFBF985A}"/>
            </c:ext>
          </c:extLst>
        </c:ser>
        <c:ser>
          <c:idx val="2"/>
          <c:order val="2"/>
          <c:tx>
            <c:strRef>
              <c:f>Sheet2!$D$150</c:f>
              <c:strCache>
                <c:ptCount val="1"/>
                <c:pt idx="0">
                  <c:v>Bone nHA+ NPK </c:v>
                </c:pt>
              </c:strCache>
            </c:strRef>
          </c:tx>
          <c:xVal>
            <c:numRef>
              <c:f>Sheet2!$A$151:$A$158</c:f>
              <c:numCache>
                <c:formatCode>General</c:formatCode>
                <c:ptCount val="8"/>
                <c:pt idx="0">
                  <c:v>5</c:v>
                </c:pt>
                <c:pt idx="1">
                  <c:v>10</c:v>
                </c:pt>
                <c:pt idx="2">
                  <c:v>15</c:v>
                </c:pt>
                <c:pt idx="3">
                  <c:v>20</c:v>
                </c:pt>
                <c:pt idx="4">
                  <c:v>25</c:v>
                </c:pt>
                <c:pt idx="5">
                  <c:v>30</c:v>
                </c:pt>
                <c:pt idx="6">
                  <c:v>35</c:v>
                </c:pt>
                <c:pt idx="7">
                  <c:v>40</c:v>
                </c:pt>
              </c:numCache>
            </c:numRef>
          </c:xVal>
          <c:yVal>
            <c:numRef>
              <c:f>Sheet2!$D$151:$D$158</c:f>
              <c:numCache>
                <c:formatCode>General</c:formatCode>
                <c:ptCount val="8"/>
                <c:pt idx="0">
                  <c:v>52.720000000000013</c:v>
                </c:pt>
                <c:pt idx="1">
                  <c:v>53.02</c:v>
                </c:pt>
                <c:pt idx="2">
                  <c:v>55.36</c:v>
                </c:pt>
                <c:pt idx="3">
                  <c:v>57.8</c:v>
                </c:pt>
                <c:pt idx="4">
                  <c:v>57.36</c:v>
                </c:pt>
                <c:pt idx="5">
                  <c:v>59.730000000000011</c:v>
                </c:pt>
                <c:pt idx="6">
                  <c:v>60.34</c:v>
                </c:pt>
                <c:pt idx="7">
                  <c:v>59.71</c:v>
                </c:pt>
              </c:numCache>
            </c:numRef>
          </c:yVal>
          <c:smooth val="0"/>
          <c:extLst xmlns:c16r2="http://schemas.microsoft.com/office/drawing/2015/06/chart">
            <c:ext xmlns:c16="http://schemas.microsoft.com/office/drawing/2014/chart" uri="{C3380CC4-5D6E-409C-BE32-E72D297353CC}">
              <c16:uniqueId val="{00000002-2FE2-47ED-9CD5-507CAFBF985A}"/>
            </c:ext>
          </c:extLst>
        </c:ser>
        <c:dLbls>
          <c:showLegendKey val="0"/>
          <c:showVal val="0"/>
          <c:showCatName val="0"/>
          <c:showSerName val="0"/>
          <c:showPercent val="0"/>
          <c:showBubbleSize val="0"/>
        </c:dLbls>
        <c:axId val="196969984"/>
        <c:axId val="196971904"/>
      </c:scatterChart>
      <c:valAx>
        <c:axId val="196969984"/>
        <c:scaling>
          <c:orientation val="minMax"/>
        </c:scaling>
        <c:delete val="0"/>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Days</a:t>
                </a: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6971904"/>
        <c:crosses val="autoZero"/>
        <c:crossBetween val="midCat"/>
      </c:valAx>
      <c:valAx>
        <c:axId val="196971904"/>
        <c:scaling>
          <c:orientation val="minMax"/>
        </c:scaling>
        <c:delete val="0"/>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Amount of Nitrate released in µgg</a:t>
                </a:r>
                <a:r>
                  <a:rPr lang="en-US" baseline="30000">
                    <a:latin typeface="Times New Roman" pitchFamily="18" charset="0"/>
                    <a:cs typeface="Times New Roman" pitchFamily="18" charset="0"/>
                  </a:rPr>
                  <a:t>-1</a:t>
                </a: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6969984"/>
        <c:crosses val="autoZero"/>
        <c:crossBetween val="midCat"/>
      </c:valAx>
      <c:spPr>
        <a:noFill/>
      </c:spPr>
    </c:plotArea>
    <c:legend>
      <c:legendPos val="r"/>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Sheet2!$B$170</c:f>
              <c:strCache>
                <c:ptCount val="1"/>
                <c:pt idx="0">
                  <c:v>Syn nHA</c:v>
                </c:pt>
              </c:strCache>
            </c:strRef>
          </c:tx>
          <c:xVal>
            <c:numRef>
              <c:f>Sheet2!$A$171:$A$178</c:f>
              <c:numCache>
                <c:formatCode>General</c:formatCode>
                <c:ptCount val="8"/>
                <c:pt idx="0">
                  <c:v>5</c:v>
                </c:pt>
                <c:pt idx="1">
                  <c:v>10</c:v>
                </c:pt>
                <c:pt idx="2">
                  <c:v>15</c:v>
                </c:pt>
                <c:pt idx="3">
                  <c:v>20</c:v>
                </c:pt>
                <c:pt idx="4">
                  <c:v>25</c:v>
                </c:pt>
                <c:pt idx="5">
                  <c:v>30</c:v>
                </c:pt>
                <c:pt idx="6">
                  <c:v>35</c:v>
                </c:pt>
                <c:pt idx="7">
                  <c:v>40</c:v>
                </c:pt>
              </c:numCache>
            </c:numRef>
          </c:xVal>
          <c:yVal>
            <c:numRef>
              <c:f>Sheet2!$B$171:$B$178</c:f>
              <c:numCache>
                <c:formatCode>General</c:formatCode>
                <c:ptCount val="8"/>
                <c:pt idx="0">
                  <c:v>73.45</c:v>
                </c:pt>
                <c:pt idx="1">
                  <c:v>48.57</c:v>
                </c:pt>
                <c:pt idx="2">
                  <c:v>39.32</c:v>
                </c:pt>
                <c:pt idx="3">
                  <c:v>36.49</c:v>
                </c:pt>
                <c:pt idx="4">
                  <c:v>34.31</c:v>
                </c:pt>
                <c:pt idx="5">
                  <c:v>31.97</c:v>
                </c:pt>
                <c:pt idx="6">
                  <c:v>30.02</c:v>
                </c:pt>
                <c:pt idx="7">
                  <c:v>29.979999999999986</c:v>
                </c:pt>
              </c:numCache>
            </c:numRef>
          </c:yVal>
          <c:smooth val="0"/>
          <c:extLst xmlns:c16r2="http://schemas.microsoft.com/office/drawing/2015/06/chart">
            <c:ext xmlns:c16="http://schemas.microsoft.com/office/drawing/2014/chart" uri="{C3380CC4-5D6E-409C-BE32-E72D297353CC}">
              <c16:uniqueId val="{00000000-1DE9-41A1-9331-055DC261F1CE}"/>
            </c:ext>
          </c:extLst>
        </c:ser>
        <c:ser>
          <c:idx val="1"/>
          <c:order val="1"/>
          <c:tx>
            <c:strRef>
              <c:f>Sheet2!$C$170</c:f>
              <c:strCache>
                <c:ptCount val="1"/>
                <c:pt idx="0">
                  <c:v>Syn nHA+ DAP</c:v>
                </c:pt>
              </c:strCache>
            </c:strRef>
          </c:tx>
          <c:xVal>
            <c:numRef>
              <c:f>Sheet2!$A$171:$A$178</c:f>
              <c:numCache>
                <c:formatCode>General</c:formatCode>
                <c:ptCount val="8"/>
                <c:pt idx="0">
                  <c:v>5</c:v>
                </c:pt>
                <c:pt idx="1">
                  <c:v>10</c:v>
                </c:pt>
                <c:pt idx="2">
                  <c:v>15</c:v>
                </c:pt>
                <c:pt idx="3">
                  <c:v>20</c:v>
                </c:pt>
                <c:pt idx="4">
                  <c:v>25</c:v>
                </c:pt>
                <c:pt idx="5">
                  <c:v>30</c:v>
                </c:pt>
                <c:pt idx="6">
                  <c:v>35</c:v>
                </c:pt>
                <c:pt idx="7">
                  <c:v>40</c:v>
                </c:pt>
              </c:numCache>
            </c:numRef>
          </c:xVal>
          <c:yVal>
            <c:numRef>
              <c:f>Sheet2!$C$171:$C$178</c:f>
              <c:numCache>
                <c:formatCode>General</c:formatCode>
                <c:ptCount val="8"/>
                <c:pt idx="0">
                  <c:v>89.669999999999987</c:v>
                </c:pt>
                <c:pt idx="1">
                  <c:v>51.52</c:v>
                </c:pt>
                <c:pt idx="2">
                  <c:v>37.910000000000004</c:v>
                </c:pt>
                <c:pt idx="3">
                  <c:v>34.130000000000003</c:v>
                </c:pt>
                <c:pt idx="4">
                  <c:v>33.840000000000003</c:v>
                </c:pt>
                <c:pt idx="5">
                  <c:v>32.47</c:v>
                </c:pt>
                <c:pt idx="6">
                  <c:v>30.56</c:v>
                </c:pt>
                <c:pt idx="7">
                  <c:v>29.279999999999987</c:v>
                </c:pt>
              </c:numCache>
            </c:numRef>
          </c:yVal>
          <c:smooth val="0"/>
          <c:extLst xmlns:c16r2="http://schemas.microsoft.com/office/drawing/2015/06/chart">
            <c:ext xmlns:c16="http://schemas.microsoft.com/office/drawing/2014/chart" uri="{C3380CC4-5D6E-409C-BE32-E72D297353CC}">
              <c16:uniqueId val="{00000001-1DE9-41A1-9331-055DC261F1CE}"/>
            </c:ext>
          </c:extLst>
        </c:ser>
        <c:ser>
          <c:idx val="2"/>
          <c:order val="2"/>
          <c:tx>
            <c:strRef>
              <c:f>Sheet2!$D$170</c:f>
              <c:strCache>
                <c:ptCount val="1"/>
                <c:pt idx="0">
                  <c:v>Syn nHA+ NPK </c:v>
                </c:pt>
              </c:strCache>
            </c:strRef>
          </c:tx>
          <c:xVal>
            <c:numRef>
              <c:f>Sheet2!$A$171:$A$178</c:f>
              <c:numCache>
                <c:formatCode>General</c:formatCode>
                <c:ptCount val="8"/>
                <c:pt idx="0">
                  <c:v>5</c:v>
                </c:pt>
                <c:pt idx="1">
                  <c:v>10</c:v>
                </c:pt>
                <c:pt idx="2">
                  <c:v>15</c:v>
                </c:pt>
                <c:pt idx="3">
                  <c:v>20</c:v>
                </c:pt>
                <c:pt idx="4">
                  <c:v>25</c:v>
                </c:pt>
                <c:pt idx="5">
                  <c:v>30</c:v>
                </c:pt>
                <c:pt idx="6">
                  <c:v>35</c:v>
                </c:pt>
                <c:pt idx="7">
                  <c:v>40</c:v>
                </c:pt>
              </c:numCache>
            </c:numRef>
          </c:xVal>
          <c:yVal>
            <c:numRef>
              <c:f>Sheet2!$D$171:$D$178</c:f>
              <c:numCache>
                <c:formatCode>General</c:formatCode>
                <c:ptCount val="8"/>
                <c:pt idx="0">
                  <c:v>89.72</c:v>
                </c:pt>
                <c:pt idx="1">
                  <c:v>55.02</c:v>
                </c:pt>
                <c:pt idx="2">
                  <c:v>39.36</c:v>
                </c:pt>
                <c:pt idx="3">
                  <c:v>35.800000000000004</c:v>
                </c:pt>
                <c:pt idx="4">
                  <c:v>34.36</c:v>
                </c:pt>
                <c:pt idx="5">
                  <c:v>30.73</c:v>
                </c:pt>
                <c:pt idx="6">
                  <c:v>29.34</c:v>
                </c:pt>
                <c:pt idx="7">
                  <c:v>29.110000000000031</c:v>
                </c:pt>
              </c:numCache>
            </c:numRef>
          </c:yVal>
          <c:smooth val="0"/>
          <c:extLst xmlns:c16r2="http://schemas.microsoft.com/office/drawing/2015/06/chart">
            <c:ext xmlns:c16="http://schemas.microsoft.com/office/drawing/2014/chart" uri="{C3380CC4-5D6E-409C-BE32-E72D297353CC}">
              <c16:uniqueId val="{00000002-1DE9-41A1-9331-055DC261F1CE}"/>
            </c:ext>
          </c:extLst>
        </c:ser>
        <c:dLbls>
          <c:showLegendKey val="0"/>
          <c:showVal val="0"/>
          <c:showCatName val="0"/>
          <c:showSerName val="0"/>
          <c:showPercent val="0"/>
          <c:showBubbleSize val="0"/>
        </c:dLbls>
        <c:axId val="196999424"/>
        <c:axId val="197529984"/>
      </c:scatterChart>
      <c:valAx>
        <c:axId val="196999424"/>
        <c:scaling>
          <c:orientation val="minMax"/>
        </c:scaling>
        <c:delete val="0"/>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Days</a:t>
                </a:r>
              </a:p>
            </c:rich>
          </c:tx>
          <c:layout>
            <c:manualLayout>
              <c:xMode val="edge"/>
              <c:yMode val="edge"/>
              <c:x val="0.38511811023622328"/>
              <c:y val="0.88331000291630157"/>
            </c:manualLayout>
          </c:layout>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7529984"/>
        <c:crosses val="autoZero"/>
        <c:crossBetween val="midCat"/>
      </c:valAx>
      <c:valAx>
        <c:axId val="197529984"/>
        <c:scaling>
          <c:orientation val="minMax"/>
        </c:scaling>
        <c:delete val="0"/>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Amount of Nitrate</a:t>
                </a:r>
                <a:r>
                  <a:rPr lang="en-US" baseline="0">
                    <a:latin typeface="Times New Roman" pitchFamily="18" charset="0"/>
                    <a:cs typeface="Times New Roman" pitchFamily="18" charset="0"/>
                  </a:rPr>
                  <a:t> release µgg</a:t>
                </a:r>
                <a:r>
                  <a:rPr lang="en-US" baseline="30000">
                    <a:latin typeface="Times New Roman" pitchFamily="18" charset="0"/>
                    <a:cs typeface="Times New Roman" pitchFamily="18" charset="0"/>
                  </a:rPr>
                  <a:t>-1</a:t>
                </a:r>
              </a:p>
            </c:rich>
          </c:tx>
          <c:layout>
            <c:manualLayout>
              <c:xMode val="edge"/>
              <c:yMode val="edge"/>
              <c:x val="3.888888888888889E-2"/>
              <c:y val="6.9803514144065534E-2"/>
            </c:manualLayout>
          </c:layout>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6999424"/>
        <c:crosses val="autoZero"/>
        <c:crossBetween val="midCat"/>
      </c:valAx>
    </c:plotArea>
    <c:legend>
      <c:legendPos val="r"/>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spPr>
    <a:no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Sheet2!$B$190</c:f>
              <c:strCache>
                <c:ptCount val="1"/>
                <c:pt idx="0">
                  <c:v>DAP  </c:v>
                </c:pt>
              </c:strCache>
            </c:strRef>
          </c:tx>
          <c:xVal>
            <c:numRef>
              <c:f>Sheet2!$A$191:$A$198</c:f>
              <c:numCache>
                <c:formatCode>General</c:formatCode>
                <c:ptCount val="8"/>
                <c:pt idx="0">
                  <c:v>5</c:v>
                </c:pt>
                <c:pt idx="1">
                  <c:v>10</c:v>
                </c:pt>
                <c:pt idx="2">
                  <c:v>15</c:v>
                </c:pt>
                <c:pt idx="3">
                  <c:v>20</c:v>
                </c:pt>
                <c:pt idx="4">
                  <c:v>25</c:v>
                </c:pt>
                <c:pt idx="5">
                  <c:v>30</c:v>
                </c:pt>
                <c:pt idx="6">
                  <c:v>35</c:v>
                </c:pt>
                <c:pt idx="7">
                  <c:v>40</c:v>
                </c:pt>
              </c:numCache>
            </c:numRef>
          </c:xVal>
          <c:yVal>
            <c:numRef>
              <c:f>Sheet2!$B$191:$B$198</c:f>
              <c:numCache>
                <c:formatCode>General</c:formatCode>
                <c:ptCount val="8"/>
                <c:pt idx="0">
                  <c:v>162.62</c:v>
                </c:pt>
                <c:pt idx="1">
                  <c:v>98.04</c:v>
                </c:pt>
                <c:pt idx="2">
                  <c:v>61.92</c:v>
                </c:pt>
                <c:pt idx="3">
                  <c:v>49</c:v>
                </c:pt>
                <c:pt idx="4">
                  <c:v>29.54</c:v>
                </c:pt>
                <c:pt idx="5">
                  <c:v>15.48</c:v>
                </c:pt>
                <c:pt idx="6">
                  <c:v>9.24</c:v>
                </c:pt>
                <c:pt idx="7">
                  <c:v>6.18</c:v>
                </c:pt>
              </c:numCache>
            </c:numRef>
          </c:yVal>
          <c:smooth val="0"/>
          <c:extLst xmlns:c16r2="http://schemas.microsoft.com/office/drawing/2015/06/chart">
            <c:ext xmlns:c16="http://schemas.microsoft.com/office/drawing/2014/chart" uri="{C3380CC4-5D6E-409C-BE32-E72D297353CC}">
              <c16:uniqueId val="{00000000-027F-4B82-AD0F-F13EA6E61949}"/>
            </c:ext>
          </c:extLst>
        </c:ser>
        <c:ser>
          <c:idx val="1"/>
          <c:order val="1"/>
          <c:tx>
            <c:strRef>
              <c:f>Sheet2!$C$190</c:f>
              <c:strCache>
                <c:ptCount val="1"/>
                <c:pt idx="0">
                  <c:v>NPK </c:v>
                </c:pt>
              </c:strCache>
            </c:strRef>
          </c:tx>
          <c:xVal>
            <c:numRef>
              <c:f>Sheet2!$A$191:$A$198</c:f>
              <c:numCache>
                <c:formatCode>General</c:formatCode>
                <c:ptCount val="8"/>
                <c:pt idx="0">
                  <c:v>5</c:v>
                </c:pt>
                <c:pt idx="1">
                  <c:v>10</c:v>
                </c:pt>
                <c:pt idx="2">
                  <c:v>15</c:v>
                </c:pt>
                <c:pt idx="3">
                  <c:v>20</c:v>
                </c:pt>
                <c:pt idx="4">
                  <c:v>25</c:v>
                </c:pt>
                <c:pt idx="5">
                  <c:v>30</c:v>
                </c:pt>
                <c:pt idx="6">
                  <c:v>35</c:v>
                </c:pt>
                <c:pt idx="7">
                  <c:v>40</c:v>
                </c:pt>
              </c:numCache>
            </c:numRef>
          </c:xVal>
          <c:yVal>
            <c:numRef>
              <c:f>Sheet2!$C$191:$C$198</c:f>
              <c:numCache>
                <c:formatCode>General</c:formatCode>
                <c:ptCount val="8"/>
                <c:pt idx="0">
                  <c:v>165.5</c:v>
                </c:pt>
                <c:pt idx="1">
                  <c:v>101.01</c:v>
                </c:pt>
                <c:pt idx="2">
                  <c:v>67.34</c:v>
                </c:pt>
                <c:pt idx="3">
                  <c:v>49.21</c:v>
                </c:pt>
                <c:pt idx="4">
                  <c:v>28.67</c:v>
                </c:pt>
                <c:pt idx="5">
                  <c:v>15.54</c:v>
                </c:pt>
                <c:pt idx="6">
                  <c:v>10.34</c:v>
                </c:pt>
                <c:pt idx="7">
                  <c:v>5.48</c:v>
                </c:pt>
              </c:numCache>
            </c:numRef>
          </c:yVal>
          <c:smooth val="0"/>
          <c:extLst xmlns:c16r2="http://schemas.microsoft.com/office/drawing/2015/06/chart">
            <c:ext xmlns:c16="http://schemas.microsoft.com/office/drawing/2014/chart" uri="{C3380CC4-5D6E-409C-BE32-E72D297353CC}">
              <c16:uniqueId val="{00000001-027F-4B82-AD0F-F13EA6E61949}"/>
            </c:ext>
          </c:extLst>
        </c:ser>
        <c:ser>
          <c:idx val="2"/>
          <c:order val="2"/>
          <c:tx>
            <c:strRef>
              <c:f>Sheet2!$D$190</c:f>
              <c:strCache>
                <c:ptCount val="1"/>
                <c:pt idx="0">
                  <c:v>NPK/DAP </c:v>
                </c:pt>
              </c:strCache>
            </c:strRef>
          </c:tx>
          <c:xVal>
            <c:numRef>
              <c:f>Sheet2!$A$191:$A$198</c:f>
              <c:numCache>
                <c:formatCode>General</c:formatCode>
                <c:ptCount val="8"/>
                <c:pt idx="0">
                  <c:v>5</c:v>
                </c:pt>
                <c:pt idx="1">
                  <c:v>10</c:v>
                </c:pt>
                <c:pt idx="2">
                  <c:v>15</c:v>
                </c:pt>
                <c:pt idx="3">
                  <c:v>20</c:v>
                </c:pt>
                <c:pt idx="4">
                  <c:v>25</c:v>
                </c:pt>
                <c:pt idx="5">
                  <c:v>30</c:v>
                </c:pt>
                <c:pt idx="6">
                  <c:v>35</c:v>
                </c:pt>
                <c:pt idx="7">
                  <c:v>40</c:v>
                </c:pt>
              </c:numCache>
            </c:numRef>
          </c:xVal>
          <c:yVal>
            <c:numRef>
              <c:f>Sheet2!$D$191:$D$198</c:f>
              <c:numCache>
                <c:formatCode>General</c:formatCode>
                <c:ptCount val="8"/>
                <c:pt idx="0">
                  <c:v>160.31</c:v>
                </c:pt>
                <c:pt idx="1">
                  <c:v>97.23</c:v>
                </c:pt>
                <c:pt idx="2">
                  <c:v>62.34</c:v>
                </c:pt>
                <c:pt idx="3">
                  <c:v>50.27</c:v>
                </c:pt>
                <c:pt idx="4">
                  <c:v>29.39</c:v>
                </c:pt>
                <c:pt idx="5">
                  <c:v>16.010000000000005</c:v>
                </c:pt>
                <c:pt idx="6">
                  <c:v>9.02</c:v>
                </c:pt>
                <c:pt idx="7">
                  <c:v>5.71</c:v>
                </c:pt>
              </c:numCache>
            </c:numRef>
          </c:yVal>
          <c:smooth val="0"/>
          <c:extLst xmlns:c16r2="http://schemas.microsoft.com/office/drawing/2015/06/chart">
            <c:ext xmlns:c16="http://schemas.microsoft.com/office/drawing/2014/chart" uri="{C3380CC4-5D6E-409C-BE32-E72D297353CC}">
              <c16:uniqueId val="{00000002-027F-4B82-AD0F-F13EA6E61949}"/>
            </c:ext>
          </c:extLst>
        </c:ser>
        <c:dLbls>
          <c:showLegendKey val="0"/>
          <c:showVal val="0"/>
          <c:showCatName val="0"/>
          <c:showSerName val="0"/>
          <c:showPercent val="0"/>
          <c:showBubbleSize val="0"/>
        </c:dLbls>
        <c:axId val="197585920"/>
        <c:axId val="197604480"/>
      </c:scatterChart>
      <c:valAx>
        <c:axId val="197585920"/>
        <c:scaling>
          <c:orientation val="minMax"/>
        </c:scaling>
        <c:delete val="0"/>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Days</a:t>
                </a: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7604480"/>
        <c:crosses val="autoZero"/>
        <c:crossBetween val="midCat"/>
      </c:valAx>
      <c:valAx>
        <c:axId val="197604480"/>
        <c:scaling>
          <c:orientation val="minMax"/>
        </c:scaling>
        <c:delete val="0"/>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Amount</a:t>
                </a:r>
                <a:r>
                  <a:rPr lang="en-US" baseline="0">
                    <a:latin typeface="Times New Roman" pitchFamily="18" charset="0"/>
                    <a:cs typeface="Times New Roman" pitchFamily="18" charset="0"/>
                  </a:rPr>
                  <a:t> of Nitrate release µgg</a:t>
                </a:r>
                <a:r>
                  <a:rPr lang="en-US" baseline="30000">
                    <a:latin typeface="Times New Roman" pitchFamily="18" charset="0"/>
                    <a:cs typeface="Times New Roman" pitchFamily="18" charset="0"/>
                  </a:rPr>
                  <a:t>-1</a:t>
                </a:r>
              </a:p>
            </c:rich>
          </c:tx>
          <c:layout>
            <c:manualLayout>
              <c:xMode val="edge"/>
              <c:yMode val="edge"/>
              <c:x val="3.6111111111111212E-2"/>
              <c:y val="8.3692403032954263E-2"/>
            </c:manualLayout>
          </c:layout>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97585920"/>
        <c:crosses val="autoZero"/>
        <c:crossBetween val="midCat"/>
      </c:valAx>
    </c:plotArea>
    <c:legend>
      <c:legendPos val="r"/>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Sheet3!$B$38</c:f>
              <c:strCache>
                <c:ptCount val="1"/>
                <c:pt idx="0">
                  <c:v>Bone nHA </c:v>
                </c:pt>
              </c:strCache>
            </c:strRef>
          </c:tx>
          <c:invertIfNegative val="0"/>
          <c:cat>
            <c:strRef>
              <c:f>Sheet3!$A$39:$A$46</c:f>
              <c:strCache>
                <c:ptCount val="8"/>
                <c:pt idx="0">
                  <c:v>Day 5 </c:v>
                </c:pt>
                <c:pt idx="1">
                  <c:v>Day 10 </c:v>
                </c:pt>
                <c:pt idx="2">
                  <c:v>Day 15 </c:v>
                </c:pt>
                <c:pt idx="3">
                  <c:v>Day 20 </c:v>
                </c:pt>
                <c:pt idx="4">
                  <c:v>Day 25 </c:v>
                </c:pt>
                <c:pt idx="5">
                  <c:v>Day 30 </c:v>
                </c:pt>
                <c:pt idx="6">
                  <c:v>Day 35 </c:v>
                </c:pt>
                <c:pt idx="7">
                  <c:v>Day 40 </c:v>
                </c:pt>
              </c:strCache>
            </c:strRef>
          </c:cat>
          <c:val>
            <c:numRef>
              <c:f>Sheet3!$B$39:$B$46</c:f>
              <c:numCache>
                <c:formatCode>General</c:formatCode>
                <c:ptCount val="8"/>
                <c:pt idx="0">
                  <c:v>7.9</c:v>
                </c:pt>
                <c:pt idx="1">
                  <c:v>8.3000000000000007</c:v>
                </c:pt>
                <c:pt idx="2">
                  <c:v>8.9</c:v>
                </c:pt>
                <c:pt idx="3">
                  <c:v>9.3000000000000007</c:v>
                </c:pt>
                <c:pt idx="4">
                  <c:v>9.4</c:v>
                </c:pt>
                <c:pt idx="5">
                  <c:v>9.5</c:v>
                </c:pt>
                <c:pt idx="6">
                  <c:v>9.7000000000000011</c:v>
                </c:pt>
                <c:pt idx="7">
                  <c:v>11.4</c:v>
                </c:pt>
              </c:numCache>
            </c:numRef>
          </c:val>
          <c:extLst xmlns:c16r2="http://schemas.microsoft.com/office/drawing/2015/06/chart">
            <c:ext xmlns:c16="http://schemas.microsoft.com/office/drawing/2014/chart" uri="{C3380CC4-5D6E-409C-BE32-E72D297353CC}">
              <c16:uniqueId val="{00000000-0A33-44FE-94C4-F13BFE4EBFF3}"/>
            </c:ext>
          </c:extLst>
        </c:ser>
        <c:ser>
          <c:idx val="1"/>
          <c:order val="1"/>
          <c:tx>
            <c:strRef>
              <c:f>Sheet3!$C$38</c:f>
              <c:strCache>
                <c:ptCount val="1"/>
                <c:pt idx="0">
                  <c:v>Bone nHA+ DAP </c:v>
                </c:pt>
              </c:strCache>
            </c:strRef>
          </c:tx>
          <c:invertIfNegative val="0"/>
          <c:cat>
            <c:strRef>
              <c:f>Sheet3!$A$39:$A$46</c:f>
              <c:strCache>
                <c:ptCount val="8"/>
                <c:pt idx="0">
                  <c:v>Day 5 </c:v>
                </c:pt>
                <c:pt idx="1">
                  <c:v>Day 10 </c:v>
                </c:pt>
                <c:pt idx="2">
                  <c:v>Day 15 </c:v>
                </c:pt>
                <c:pt idx="3">
                  <c:v>Day 20 </c:v>
                </c:pt>
                <c:pt idx="4">
                  <c:v>Day 25 </c:v>
                </c:pt>
                <c:pt idx="5">
                  <c:v>Day 30 </c:v>
                </c:pt>
                <c:pt idx="6">
                  <c:v>Day 35 </c:v>
                </c:pt>
                <c:pt idx="7">
                  <c:v>Day 40 </c:v>
                </c:pt>
              </c:strCache>
            </c:strRef>
          </c:cat>
          <c:val>
            <c:numRef>
              <c:f>Sheet3!$C$39:$C$46</c:f>
              <c:numCache>
                <c:formatCode>General</c:formatCode>
                <c:ptCount val="8"/>
                <c:pt idx="0">
                  <c:v>11.2</c:v>
                </c:pt>
                <c:pt idx="1">
                  <c:v>9</c:v>
                </c:pt>
                <c:pt idx="2">
                  <c:v>9.3000000000000007</c:v>
                </c:pt>
                <c:pt idx="3">
                  <c:v>9.5</c:v>
                </c:pt>
                <c:pt idx="4">
                  <c:v>9.6</c:v>
                </c:pt>
                <c:pt idx="5">
                  <c:v>9.9</c:v>
                </c:pt>
                <c:pt idx="6">
                  <c:v>10.1</c:v>
                </c:pt>
                <c:pt idx="7">
                  <c:v>10.4</c:v>
                </c:pt>
              </c:numCache>
            </c:numRef>
          </c:val>
          <c:extLst xmlns:c16r2="http://schemas.microsoft.com/office/drawing/2015/06/chart">
            <c:ext xmlns:c16="http://schemas.microsoft.com/office/drawing/2014/chart" uri="{C3380CC4-5D6E-409C-BE32-E72D297353CC}">
              <c16:uniqueId val="{00000001-0A33-44FE-94C4-F13BFE4EBFF3}"/>
            </c:ext>
          </c:extLst>
        </c:ser>
        <c:ser>
          <c:idx val="2"/>
          <c:order val="2"/>
          <c:tx>
            <c:strRef>
              <c:f>Sheet3!$D$38</c:f>
              <c:strCache>
                <c:ptCount val="1"/>
                <c:pt idx="0">
                  <c:v>Synthetic nHA </c:v>
                </c:pt>
              </c:strCache>
            </c:strRef>
          </c:tx>
          <c:invertIfNegative val="0"/>
          <c:cat>
            <c:strRef>
              <c:f>Sheet3!$A$39:$A$46</c:f>
              <c:strCache>
                <c:ptCount val="8"/>
                <c:pt idx="0">
                  <c:v>Day 5 </c:v>
                </c:pt>
                <c:pt idx="1">
                  <c:v>Day 10 </c:v>
                </c:pt>
                <c:pt idx="2">
                  <c:v>Day 15 </c:v>
                </c:pt>
                <c:pt idx="3">
                  <c:v>Day 20 </c:v>
                </c:pt>
                <c:pt idx="4">
                  <c:v>Day 25 </c:v>
                </c:pt>
                <c:pt idx="5">
                  <c:v>Day 30 </c:v>
                </c:pt>
                <c:pt idx="6">
                  <c:v>Day 35 </c:v>
                </c:pt>
                <c:pt idx="7">
                  <c:v>Day 40 </c:v>
                </c:pt>
              </c:strCache>
            </c:strRef>
          </c:cat>
          <c:val>
            <c:numRef>
              <c:f>Sheet3!$D$39:$D$46</c:f>
              <c:numCache>
                <c:formatCode>General</c:formatCode>
                <c:ptCount val="8"/>
                <c:pt idx="0">
                  <c:v>7.4</c:v>
                </c:pt>
                <c:pt idx="1">
                  <c:v>8.2000000000000011</c:v>
                </c:pt>
                <c:pt idx="2">
                  <c:v>8.8000000000000007</c:v>
                </c:pt>
                <c:pt idx="3">
                  <c:v>8.9</c:v>
                </c:pt>
                <c:pt idx="4">
                  <c:v>9.1</c:v>
                </c:pt>
                <c:pt idx="5">
                  <c:v>9.3000000000000007</c:v>
                </c:pt>
                <c:pt idx="6">
                  <c:v>9.5</c:v>
                </c:pt>
                <c:pt idx="7">
                  <c:v>9.6</c:v>
                </c:pt>
              </c:numCache>
            </c:numRef>
          </c:val>
          <c:extLst xmlns:c16r2="http://schemas.microsoft.com/office/drawing/2015/06/chart">
            <c:ext xmlns:c16="http://schemas.microsoft.com/office/drawing/2014/chart" uri="{C3380CC4-5D6E-409C-BE32-E72D297353CC}">
              <c16:uniqueId val="{00000002-0A33-44FE-94C4-F13BFE4EBFF3}"/>
            </c:ext>
          </c:extLst>
        </c:ser>
        <c:ser>
          <c:idx val="3"/>
          <c:order val="3"/>
          <c:tx>
            <c:strRef>
              <c:f>Sheet3!$E$38</c:f>
              <c:strCache>
                <c:ptCount val="1"/>
                <c:pt idx="0">
                  <c:v>Synthetic nHA+ DAP </c:v>
                </c:pt>
              </c:strCache>
            </c:strRef>
          </c:tx>
          <c:invertIfNegative val="0"/>
          <c:cat>
            <c:strRef>
              <c:f>Sheet3!$A$39:$A$46</c:f>
              <c:strCache>
                <c:ptCount val="8"/>
                <c:pt idx="0">
                  <c:v>Day 5 </c:v>
                </c:pt>
                <c:pt idx="1">
                  <c:v>Day 10 </c:v>
                </c:pt>
                <c:pt idx="2">
                  <c:v>Day 15 </c:v>
                </c:pt>
                <c:pt idx="3">
                  <c:v>Day 20 </c:v>
                </c:pt>
                <c:pt idx="4">
                  <c:v>Day 25 </c:v>
                </c:pt>
                <c:pt idx="5">
                  <c:v>Day 30 </c:v>
                </c:pt>
                <c:pt idx="6">
                  <c:v>Day 35 </c:v>
                </c:pt>
                <c:pt idx="7">
                  <c:v>Day 40 </c:v>
                </c:pt>
              </c:strCache>
            </c:strRef>
          </c:cat>
          <c:val>
            <c:numRef>
              <c:f>Sheet3!$E$39:$E$46</c:f>
              <c:numCache>
                <c:formatCode>General</c:formatCode>
                <c:ptCount val="8"/>
                <c:pt idx="0">
                  <c:v>9.5</c:v>
                </c:pt>
                <c:pt idx="1">
                  <c:v>9.1</c:v>
                </c:pt>
                <c:pt idx="2">
                  <c:v>9.3000000000000007</c:v>
                </c:pt>
                <c:pt idx="3">
                  <c:v>9.4</c:v>
                </c:pt>
                <c:pt idx="4">
                  <c:v>9.5</c:v>
                </c:pt>
                <c:pt idx="5">
                  <c:v>9.8000000000000007</c:v>
                </c:pt>
                <c:pt idx="6">
                  <c:v>9.9</c:v>
                </c:pt>
                <c:pt idx="7">
                  <c:v>9.9</c:v>
                </c:pt>
              </c:numCache>
            </c:numRef>
          </c:val>
          <c:extLst xmlns:c16r2="http://schemas.microsoft.com/office/drawing/2015/06/chart">
            <c:ext xmlns:c16="http://schemas.microsoft.com/office/drawing/2014/chart" uri="{C3380CC4-5D6E-409C-BE32-E72D297353CC}">
              <c16:uniqueId val="{00000003-0A33-44FE-94C4-F13BFE4EBFF3}"/>
            </c:ext>
          </c:extLst>
        </c:ser>
        <c:ser>
          <c:idx val="4"/>
          <c:order val="4"/>
          <c:tx>
            <c:strRef>
              <c:f>Sheet3!$F$38</c:f>
              <c:strCache>
                <c:ptCount val="1"/>
                <c:pt idx="0">
                  <c:v>DAP   </c:v>
                </c:pt>
              </c:strCache>
            </c:strRef>
          </c:tx>
          <c:invertIfNegative val="0"/>
          <c:cat>
            <c:strRef>
              <c:f>Sheet3!$A$39:$A$46</c:f>
              <c:strCache>
                <c:ptCount val="8"/>
                <c:pt idx="0">
                  <c:v>Day 5 </c:v>
                </c:pt>
                <c:pt idx="1">
                  <c:v>Day 10 </c:v>
                </c:pt>
                <c:pt idx="2">
                  <c:v>Day 15 </c:v>
                </c:pt>
                <c:pt idx="3">
                  <c:v>Day 20 </c:v>
                </c:pt>
                <c:pt idx="4">
                  <c:v>Day 25 </c:v>
                </c:pt>
                <c:pt idx="5">
                  <c:v>Day 30 </c:v>
                </c:pt>
                <c:pt idx="6">
                  <c:v>Day 35 </c:v>
                </c:pt>
                <c:pt idx="7">
                  <c:v>Day 40 </c:v>
                </c:pt>
              </c:strCache>
            </c:strRef>
          </c:cat>
          <c:val>
            <c:numRef>
              <c:f>Sheet3!$F$39:$F$46</c:f>
              <c:numCache>
                <c:formatCode>General</c:formatCode>
                <c:ptCount val="8"/>
                <c:pt idx="0">
                  <c:v>37.1</c:v>
                </c:pt>
                <c:pt idx="1">
                  <c:v>22.3</c:v>
                </c:pt>
                <c:pt idx="2">
                  <c:v>14.1</c:v>
                </c:pt>
                <c:pt idx="3">
                  <c:v>11</c:v>
                </c:pt>
                <c:pt idx="4">
                  <c:v>7</c:v>
                </c:pt>
                <c:pt idx="5">
                  <c:v>3.9</c:v>
                </c:pt>
                <c:pt idx="6">
                  <c:v>3.3</c:v>
                </c:pt>
                <c:pt idx="7">
                  <c:v>2.8</c:v>
                </c:pt>
              </c:numCache>
            </c:numRef>
          </c:val>
          <c:extLst xmlns:c16r2="http://schemas.microsoft.com/office/drawing/2015/06/chart">
            <c:ext xmlns:c16="http://schemas.microsoft.com/office/drawing/2014/chart" uri="{C3380CC4-5D6E-409C-BE32-E72D297353CC}">
              <c16:uniqueId val="{00000004-0A33-44FE-94C4-F13BFE4EBFF3}"/>
            </c:ext>
          </c:extLst>
        </c:ser>
        <c:dLbls>
          <c:showLegendKey val="0"/>
          <c:showVal val="0"/>
          <c:showCatName val="0"/>
          <c:showSerName val="0"/>
          <c:showPercent val="0"/>
          <c:showBubbleSize val="0"/>
        </c:dLbls>
        <c:gapWidth val="300"/>
        <c:axId val="210315904"/>
        <c:axId val="210330368"/>
      </c:barChart>
      <c:catAx>
        <c:axId val="210315904"/>
        <c:scaling>
          <c:orientation val="minMax"/>
        </c:scaling>
        <c:delete val="0"/>
        <c:axPos val="b"/>
        <c:title>
          <c:tx>
            <c:rich>
              <a:bodyPr/>
              <a:lstStyle/>
              <a:p>
                <a:pPr>
                  <a:defRPr/>
                </a:pPr>
                <a:r>
                  <a:rPr lang="en-US"/>
                  <a:t>Days</a:t>
                </a:r>
              </a:p>
            </c:rich>
          </c:tx>
          <c:overlay val="0"/>
        </c:title>
        <c:numFmt formatCode="General" sourceLinked="0"/>
        <c:majorTickMark val="none"/>
        <c:minorTickMark val="none"/>
        <c:tickLblPos val="nextTo"/>
        <c:crossAx val="210330368"/>
        <c:crosses val="autoZero"/>
        <c:auto val="1"/>
        <c:lblAlgn val="ctr"/>
        <c:lblOffset val="100"/>
        <c:noMultiLvlLbl val="0"/>
      </c:catAx>
      <c:valAx>
        <c:axId val="210330368"/>
        <c:scaling>
          <c:orientation val="minMax"/>
        </c:scaling>
        <c:delete val="0"/>
        <c:axPos val="l"/>
        <c:majorGridlines/>
        <c:minorGridlines/>
        <c:title>
          <c:tx>
            <c:rich>
              <a:bodyPr/>
              <a:lstStyle/>
              <a:p>
                <a:pPr>
                  <a:defRPr/>
                </a:pPr>
                <a:r>
                  <a:rPr lang="en-US"/>
                  <a:t>Nitrate nutrient release rate µgg</a:t>
                </a:r>
                <a:r>
                  <a:rPr lang="en-US" baseline="30000"/>
                  <a:t>-1</a:t>
                </a:r>
              </a:p>
            </c:rich>
          </c:tx>
          <c:overlay val="0"/>
        </c:title>
        <c:numFmt formatCode="General" sourceLinked="1"/>
        <c:majorTickMark val="out"/>
        <c:minorTickMark val="none"/>
        <c:tickLblPos val="nextTo"/>
        <c:crossAx val="210315904"/>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Sheet3!$A$93</c:f>
              <c:strCache>
                <c:ptCount val="1"/>
                <c:pt idx="0">
                  <c:v>Bone nHA </c:v>
                </c:pt>
              </c:strCache>
            </c:strRef>
          </c:tx>
          <c:invertIfNegative val="0"/>
          <c:cat>
            <c:strRef>
              <c:f>Sheet3!$B$92:$I$92</c:f>
              <c:strCache>
                <c:ptCount val="8"/>
                <c:pt idx="0">
                  <c:v>Day 5 </c:v>
                </c:pt>
                <c:pt idx="1">
                  <c:v>Day 10 </c:v>
                </c:pt>
                <c:pt idx="2">
                  <c:v>Day 15 </c:v>
                </c:pt>
                <c:pt idx="3">
                  <c:v>Day 20 </c:v>
                </c:pt>
                <c:pt idx="4">
                  <c:v>Day 25 </c:v>
                </c:pt>
                <c:pt idx="5">
                  <c:v>Day 30 </c:v>
                </c:pt>
                <c:pt idx="6">
                  <c:v>Day 35 </c:v>
                </c:pt>
                <c:pt idx="7">
                  <c:v>Day 40 </c:v>
                </c:pt>
              </c:strCache>
            </c:strRef>
          </c:cat>
          <c:val>
            <c:numRef>
              <c:f>Sheet3!$B$93:$I$93</c:f>
              <c:numCache>
                <c:formatCode>General</c:formatCode>
                <c:ptCount val="8"/>
                <c:pt idx="0">
                  <c:v>17.899999999999999</c:v>
                </c:pt>
                <c:pt idx="1">
                  <c:v>12</c:v>
                </c:pt>
                <c:pt idx="2">
                  <c:v>9.7000000000000011</c:v>
                </c:pt>
                <c:pt idx="3">
                  <c:v>9.3000000000000007</c:v>
                </c:pt>
                <c:pt idx="4">
                  <c:v>8.8000000000000007</c:v>
                </c:pt>
                <c:pt idx="5">
                  <c:v>8.6</c:v>
                </c:pt>
                <c:pt idx="6">
                  <c:v>7.7</c:v>
                </c:pt>
                <c:pt idx="7">
                  <c:v>7.2</c:v>
                </c:pt>
              </c:numCache>
            </c:numRef>
          </c:val>
          <c:extLst xmlns:c16r2="http://schemas.microsoft.com/office/drawing/2015/06/chart">
            <c:ext xmlns:c16="http://schemas.microsoft.com/office/drawing/2014/chart" uri="{C3380CC4-5D6E-409C-BE32-E72D297353CC}">
              <c16:uniqueId val="{00000000-06D0-4F8A-8673-BFF36B3C0603}"/>
            </c:ext>
          </c:extLst>
        </c:ser>
        <c:ser>
          <c:idx val="1"/>
          <c:order val="1"/>
          <c:tx>
            <c:strRef>
              <c:f>Sheet3!$A$94</c:f>
              <c:strCache>
                <c:ptCount val="1"/>
                <c:pt idx="0">
                  <c:v>Bone nHA+ DAP </c:v>
                </c:pt>
              </c:strCache>
            </c:strRef>
          </c:tx>
          <c:invertIfNegative val="0"/>
          <c:cat>
            <c:strRef>
              <c:f>Sheet3!$B$92:$I$92</c:f>
              <c:strCache>
                <c:ptCount val="8"/>
                <c:pt idx="0">
                  <c:v>Day 5 </c:v>
                </c:pt>
                <c:pt idx="1">
                  <c:v>Day 10 </c:v>
                </c:pt>
                <c:pt idx="2">
                  <c:v>Day 15 </c:v>
                </c:pt>
                <c:pt idx="3">
                  <c:v>Day 20 </c:v>
                </c:pt>
                <c:pt idx="4">
                  <c:v>Day 25 </c:v>
                </c:pt>
                <c:pt idx="5">
                  <c:v>Day 30 </c:v>
                </c:pt>
                <c:pt idx="6">
                  <c:v>Day 35 </c:v>
                </c:pt>
                <c:pt idx="7">
                  <c:v>Day 40 </c:v>
                </c:pt>
              </c:strCache>
            </c:strRef>
          </c:cat>
          <c:val>
            <c:numRef>
              <c:f>Sheet3!$B$94:$I$94</c:f>
              <c:numCache>
                <c:formatCode>General</c:formatCode>
                <c:ptCount val="8"/>
                <c:pt idx="0">
                  <c:v>21.2</c:v>
                </c:pt>
                <c:pt idx="1">
                  <c:v>13</c:v>
                </c:pt>
                <c:pt idx="2">
                  <c:v>9.5</c:v>
                </c:pt>
                <c:pt idx="3">
                  <c:v>8.2000000000000011</c:v>
                </c:pt>
                <c:pt idx="4">
                  <c:v>8.1</c:v>
                </c:pt>
                <c:pt idx="5">
                  <c:v>7.9</c:v>
                </c:pt>
                <c:pt idx="6">
                  <c:v>7.5</c:v>
                </c:pt>
                <c:pt idx="7">
                  <c:v>7.4</c:v>
                </c:pt>
              </c:numCache>
            </c:numRef>
          </c:val>
          <c:extLst xmlns:c16r2="http://schemas.microsoft.com/office/drawing/2015/06/chart">
            <c:ext xmlns:c16="http://schemas.microsoft.com/office/drawing/2014/chart" uri="{C3380CC4-5D6E-409C-BE32-E72D297353CC}">
              <c16:uniqueId val="{00000001-06D0-4F8A-8673-BFF36B3C0603}"/>
            </c:ext>
          </c:extLst>
        </c:ser>
        <c:ser>
          <c:idx val="2"/>
          <c:order val="2"/>
          <c:tx>
            <c:strRef>
              <c:f>Sheet3!$A$95</c:f>
              <c:strCache>
                <c:ptCount val="1"/>
                <c:pt idx="0">
                  <c:v>Synthetic nHA </c:v>
                </c:pt>
              </c:strCache>
            </c:strRef>
          </c:tx>
          <c:invertIfNegative val="0"/>
          <c:cat>
            <c:strRef>
              <c:f>Sheet3!$B$92:$I$92</c:f>
              <c:strCache>
                <c:ptCount val="8"/>
                <c:pt idx="0">
                  <c:v>Day 5 </c:v>
                </c:pt>
                <c:pt idx="1">
                  <c:v>Day 10 </c:v>
                </c:pt>
                <c:pt idx="2">
                  <c:v>Day 15 </c:v>
                </c:pt>
                <c:pt idx="3">
                  <c:v>Day 20 </c:v>
                </c:pt>
                <c:pt idx="4">
                  <c:v>Day 25 </c:v>
                </c:pt>
                <c:pt idx="5">
                  <c:v>Day 30 </c:v>
                </c:pt>
                <c:pt idx="6">
                  <c:v>Day 35 </c:v>
                </c:pt>
                <c:pt idx="7">
                  <c:v>Day 40 </c:v>
                </c:pt>
              </c:strCache>
            </c:strRef>
          </c:cat>
          <c:val>
            <c:numRef>
              <c:f>Sheet3!$B$95:$I$95</c:f>
              <c:numCache>
                <c:formatCode>General</c:formatCode>
                <c:ptCount val="8"/>
                <c:pt idx="0">
                  <c:v>17.399999999999999</c:v>
                </c:pt>
                <c:pt idx="1">
                  <c:v>11.6</c:v>
                </c:pt>
                <c:pt idx="2">
                  <c:v>9.4</c:v>
                </c:pt>
                <c:pt idx="3">
                  <c:v>8.5</c:v>
                </c:pt>
                <c:pt idx="4">
                  <c:v>7.8</c:v>
                </c:pt>
                <c:pt idx="5">
                  <c:v>7.6</c:v>
                </c:pt>
                <c:pt idx="6">
                  <c:v>7.3</c:v>
                </c:pt>
                <c:pt idx="7">
                  <c:v>7.1</c:v>
                </c:pt>
              </c:numCache>
            </c:numRef>
          </c:val>
          <c:extLst xmlns:c16r2="http://schemas.microsoft.com/office/drawing/2015/06/chart">
            <c:ext xmlns:c16="http://schemas.microsoft.com/office/drawing/2014/chart" uri="{C3380CC4-5D6E-409C-BE32-E72D297353CC}">
              <c16:uniqueId val="{00000002-06D0-4F8A-8673-BFF36B3C0603}"/>
            </c:ext>
          </c:extLst>
        </c:ser>
        <c:ser>
          <c:idx val="3"/>
          <c:order val="3"/>
          <c:tx>
            <c:strRef>
              <c:f>Sheet3!$A$96</c:f>
              <c:strCache>
                <c:ptCount val="1"/>
                <c:pt idx="0">
                  <c:v>Synthetic nHA+ DAP </c:v>
                </c:pt>
              </c:strCache>
            </c:strRef>
          </c:tx>
          <c:invertIfNegative val="0"/>
          <c:cat>
            <c:strRef>
              <c:f>Sheet3!$B$92:$I$92</c:f>
              <c:strCache>
                <c:ptCount val="8"/>
                <c:pt idx="0">
                  <c:v>Day 5 </c:v>
                </c:pt>
                <c:pt idx="1">
                  <c:v>Day 10 </c:v>
                </c:pt>
                <c:pt idx="2">
                  <c:v>Day 15 </c:v>
                </c:pt>
                <c:pt idx="3">
                  <c:v>Day 20 </c:v>
                </c:pt>
                <c:pt idx="4">
                  <c:v>Day 25 </c:v>
                </c:pt>
                <c:pt idx="5">
                  <c:v>Day 30 </c:v>
                </c:pt>
                <c:pt idx="6">
                  <c:v>Day 35 </c:v>
                </c:pt>
                <c:pt idx="7">
                  <c:v>Day 40 </c:v>
                </c:pt>
              </c:strCache>
            </c:strRef>
          </c:cat>
          <c:val>
            <c:numRef>
              <c:f>Sheet3!$B$96:$I$96</c:f>
              <c:numCache>
                <c:formatCode>General</c:formatCode>
                <c:ptCount val="8"/>
                <c:pt idx="0">
                  <c:v>20.5</c:v>
                </c:pt>
                <c:pt idx="1">
                  <c:v>12.1</c:v>
                </c:pt>
                <c:pt idx="2">
                  <c:v>9.9</c:v>
                </c:pt>
                <c:pt idx="3">
                  <c:v>9.1</c:v>
                </c:pt>
                <c:pt idx="4">
                  <c:v>8.4</c:v>
                </c:pt>
                <c:pt idx="5">
                  <c:v>7.8</c:v>
                </c:pt>
                <c:pt idx="6">
                  <c:v>6.2</c:v>
                </c:pt>
                <c:pt idx="7">
                  <c:v>7</c:v>
                </c:pt>
              </c:numCache>
            </c:numRef>
          </c:val>
          <c:extLst xmlns:c16r2="http://schemas.microsoft.com/office/drawing/2015/06/chart">
            <c:ext xmlns:c16="http://schemas.microsoft.com/office/drawing/2014/chart" uri="{C3380CC4-5D6E-409C-BE32-E72D297353CC}">
              <c16:uniqueId val="{00000003-06D0-4F8A-8673-BFF36B3C0603}"/>
            </c:ext>
          </c:extLst>
        </c:ser>
        <c:ser>
          <c:idx val="4"/>
          <c:order val="4"/>
          <c:tx>
            <c:strRef>
              <c:f>Sheet3!$A$97</c:f>
              <c:strCache>
                <c:ptCount val="1"/>
                <c:pt idx="0">
                  <c:v>DAP   </c:v>
                </c:pt>
              </c:strCache>
            </c:strRef>
          </c:tx>
          <c:invertIfNegative val="0"/>
          <c:cat>
            <c:strRef>
              <c:f>Sheet3!$B$92:$I$92</c:f>
              <c:strCache>
                <c:ptCount val="8"/>
                <c:pt idx="0">
                  <c:v>Day 5 </c:v>
                </c:pt>
                <c:pt idx="1">
                  <c:v>Day 10 </c:v>
                </c:pt>
                <c:pt idx="2">
                  <c:v>Day 15 </c:v>
                </c:pt>
                <c:pt idx="3">
                  <c:v>Day 20 </c:v>
                </c:pt>
                <c:pt idx="4">
                  <c:v>Day 25 </c:v>
                </c:pt>
                <c:pt idx="5">
                  <c:v>Day 30 </c:v>
                </c:pt>
                <c:pt idx="6">
                  <c:v>Day 35 </c:v>
                </c:pt>
                <c:pt idx="7">
                  <c:v>Day 40 </c:v>
                </c:pt>
              </c:strCache>
            </c:strRef>
          </c:cat>
          <c:val>
            <c:numRef>
              <c:f>Sheet3!$B$97:$I$97</c:f>
              <c:numCache>
                <c:formatCode>General</c:formatCode>
                <c:ptCount val="8"/>
                <c:pt idx="0">
                  <c:v>37.1</c:v>
                </c:pt>
                <c:pt idx="1">
                  <c:v>22.3</c:v>
                </c:pt>
                <c:pt idx="2">
                  <c:v>14.1</c:v>
                </c:pt>
                <c:pt idx="3">
                  <c:v>11</c:v>
                </c:pt>
                <c:pt idx="4">
                  <c:v>7</c:v>
                </c:pt>
                <c:pt idx="5">
                  <c:v>3.9</c:v>
                </c:pt>
                <c:pt idx="6">
                  <c:v>3.3</c:v>
                </c:pt>
                <c:pt idx="7">
                  <c:v>2.8</c:v>
                </c:pt>
              </c:numCache>
            </c:numRef>
          </c:val>
          <c:extLst xmlns:c16r2="http://schemas.microsoft.com/office/drawing/2015/06/chart">
            <c:ext xmlns:c16="http://schemas.microsoft.com/office/drawing/2014/chart" uri="{C3380CC4-5D6E-409C-BE32-E72D297353CC}">
              <c16:uniqueId val="{00000004-06D0-4F8A-8673-BFF36B3C0603}"/>
            </c:ext>
          </c:extLst>
        </c:ser>
        <c:dLbls>
          <c:showLegendKey val="0"/>
          <c:showVal val="0"/>
          <c:showCatName val="0"/>
          <c:showSerName val="0"/>
          <c:showPercent val="0"/>
          <c:showBubbleSize val="0"/>
        </c:dLbls>
        <c:gapWidth val="300"/>
        <c:axId val="210364288"/>
        <c:axId val="210366464"/>
      </c:barChart>
      <c:catAx>
        <c:axId val="210364288"/>
        <c:scaling>
          <c:orientation val="minMax"/>
        </c:scaling>
        <c:delete val="0"/>
        <c:axPos val="b"/>
        <c:title>
          <c:tx>
            <c:rich>
              <a:bodyPr/>
              <a:lstStyle/>
              <a:p>
                <a:pPr>
                  <a:defRPr/>
                </a:pPr>
                <a:r>
                  <a:rPr lang="en-US"/>
                  <a:t>Days</a:t>
                </a:r>
              </a:p>
            </c:rich>
          </c:tx>
          <c:overlay val="0"/>
        </c:title>
        <c:numFmt formatCode="General" sourceLinked="0"/>
        <c:majorTickMark val="none"/>
        <c:minorTickMark val="none"/>
        <c:tickLblPos val="nextTo"/>
        <c:crossAx val="210366464"/>
        <c:crosses val="autoZero"/>
        <c:auto val="1"/>
        <c:lblAlgn val="ctr"/>
        <c:lblOffset val="100"/>
        <c:noMultiLvlLbl val="0"/>
      </c:catAx>
      <c:valAx>
        <c:axId val="210366464"/>
        <c:scaling>
          <c:orientation val="minMax"/>
        </c:scaling>
        <c:delete val="0"/>
        <c:axPos val="l"/>
        <c:majorGridlines/>
        <c:minorGridlines/>
        <c:title>
          <c:tx>
            <c:rich>
              <a:bodyPr/>
              <a:lstStyle/>
              <a:p>
                <a:pPr>
                  <a:defRPr/>
                </a:pPr>
                <a:r>
                  <a:rPr lang="en-US"/>
                  <a:t>Phosphate release rate µgg</a:t>
                </a:r>
                <a:r>
                  <a:rPr lang="en-US" baseline="30000"/>
                  <a:t>-1</a:t>
                </a:r>
              </a:p>
            </c:rich>
          </c:tx>
          <c:overlay val="0"/>
        </c:title>
        <c:numFmt formatCode="General" sourceLinked="1"/>
        <c:majorTickMark val="out"/>
        <c:minorTickMark val="none"/>
        <c:tickLblPos val="nextTo"/>
        <c:crossAx val="21036428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3FC366-B44C-4382-84E3-361AC5A55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126</Pages>
  <Words>32291</Words>
  <Characters>184062</Characters>
  <Application>Microsoft Office Word</Application>
  <DocSecurity>0</DocSecurity>
  <Lines>1533</Lines>
  <Paragraphs>431</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215922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DEAN SPASS</dc:creator>
  <cp:lastModifiedBy>cherotich.stephanie</cp:lastModifiedBy>
  <cp:revision>2</cp:revision>
  <cp:lastPrinted>2023-09-05T12:39:00Z</cp:lastPrinted>
  <dcterms:created xsi:type="dcterms:W3CDTF">2024-02-05T12:26:00Z</dcterms:created>
  <dcterms:modified xsi:type="dcterms:W3CDTF">2024-02-05T12:26:00Z</dcterms:modified>
</cp:coreProperties>
</file>